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89" w:type="pct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1078"/>
        <w:gridCol w:w="1986"/>
        <w:gridCol w:w="2077"/>
        <w:gridCol w:w="2018"/>
        <w:gridCol w:w="1979"/>
        <w:gridCol w:w="1979"/>
        <w:gridCol w:w="2194"/>
        <w:gridCol w:w="1992"/>
      </w:tblGrid>
      <w:tr w:rsidR="00E5307B" w:rsidTr="0082000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spacing w:before="120" w:after="12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新青年全球胜任力人才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6"/>
                <w:szCs w:val="36"/>
              </w:rPr>
              <w:t>培养计划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课程表（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2024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年春季）</w:t>
            </w:r>
          </w:p>
        </w:tc>
      </w:tr>
      <w:tr w:rsidR="00E5307B" w:rsidTr="0082000E">
        <w:trPr>
          <w:trHeight w:val="20"/>
          <w:jc w:val="center"/>
        </w:trPr>
        <w:tc>
          <w:tcPr>
            <w:tcW w:w="299" w:type="pct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noWrap/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331" w:type="pct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  <w:tl2br w:val="single" w:sz="4" w:space="0" w:color="000000"/>
            </w:tcBorders>
            <w:shd w:val="clear" w:color="auto" w:fill="D9E2F3"/>
            <w:vAlign w:val="center"/>
          </w:tcPr>
          <w:p w:rsidR="00E5307B" w:rsidRDefault="00E5307B" w:rsidP="0082000E">
            <w:pPr>
              <w:jc w:val="right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周</w:t>
            </w:r>
          </w:p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61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第一周</w:t>
            </w:r>
          </w:p>
        </w:tc>
        <w:tc>
          <w:tcPr>
            <w:tcW w:w="63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第二周</w:t>
            </w:r>
          </w:p>
        </w:tc>
        <w:tc>
          <w:tcPr>
            <w:tcW w:w="62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第三周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第四周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第五周</w:t>
            </w:r>
          </w:p>
        </w:tc>
        <w:tc>
          <w:tcPr>
            <w:tcW w:w="674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第六周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第七周</w:t>
            </w:r>
          </w:p>
        </w:tc>
      </w:tr>
      <w:tr w:rsidR="00E5307B" w:rsidTr="0082000E">
        <w:trPr>
          <w:trHeight w:val="551"/>
          <w:jc w:val="center"/>
        </w:trPr>
        <w:tc>
          <w:tcPr>
            <w:tcW w:w="299" w:type="pct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noWrap/>
            <w:vAlign w:val="center"/>
          </w:tcPr>
          <w:p w:rsidR="00E5307B" w:rsidRDefault="00E5307B" w:rsidP="0082000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  <w:tl2br w:val="single" w:sz="4" w:space="0" w:color="000000"/>
            </w:tcBorders>
            <w:shd w:val="clear" w:color="auto" w:fill="D9E2F3"/>
            <w:vAlign w:val="center"/>
          </w:tcPr>
          <w:p w:rsidR="00E5307B" w:rsidRDefault="00E5307B" w:rsidP="0082000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3.25-3.31</w:t>
            </w:r>
          </w:p>
        </w:tc>
        <w:tc>
          <w:tcPr>
            <w:tcW w:w="63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4.1-4.7</w:t>
            </w:r>
          </w:p>
        </w:tc>
        <w:tc>
          <w:tcPr>
            <w:tcW w:w="62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4.8-4.14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4.15-4.21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4.22-4.28</w:t>
            </w:r>
          </w:p>
        </w:tc>
        <w:tc>
          <w:tcPr>
            <w:tcW w:w="674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4.29-5.5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5.6-5.12</w:t>
            </w:r>
          </w:p>
        </w:tc>
      </w:tr>
      <w:tr w:rsidR="00E5307B" w:rsidTr="0082000E">
        <w:trPr>
          <w:trHeight w:val="570"/>
          <w:jc w:val="center"/>
        </w:trPr>
        <w:tc>
          <w:tcPr>
            <w:tcW w:w="299" w:type="pct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spacing w:beforeLines="50" w:before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星期六</w:t>
            </w:r>
          </w:p>
        </w:tc>
        <w:tc>
          <w:tcPr>
            <w:tcW w:w="331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18:00-19:30</w:t>
            </w:r>
          </w:p>
        </w:tc>
        <w:tc>
          <w:tcPr>
            <w:tcW w:w="61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英语演讲与辩论（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3.30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38" w:type="pct"/>
            <w:vMerge w:val="restart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法定假日</w:t>
            </w:r>
          </w:p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-</w:t>
            </w:r>
          </w:p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清明节</w:t>
            </w:r>
          </w:p>
        </w:tc>
        <w:tc>
          <w:tcPr>
            <w:tcW w:w="62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英语演讲与辩论（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4.13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英语演讲与辩论（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4.20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英语演讲与辩论（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4.27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74" w:type="pct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法定假日</w:t>
            </w:r>
          </w:p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-</w:t>
            </w:r>
          </w:p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劳动节</w:t>
            </w:r>
          </w:p>
        </w:tc>
        <w:tc>
          <w:tcPr>
            <w:tcW w:w="608" w:type="pct"/>
            <w:vMerge w:val="restart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在校日</w:t>
            </w:r>
          </w:p>
        </w:tc>
      </w:tr>
      <w:tr w:rsidR="00E5307B" w:rsidTr="0082000E">
        <w:trPr>
          <w:trHeight w:val="573"/>
          <w:jc w:val="center"/>
        </w:trPr>
        <w:tc>
          <w:tcPr>
            <w:tcW w:w="299" w:type="pct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20:00-21:30</w:t>
            </w:r>
          </w:p>
        </w:tc>
        <w:tc>
          <w:tcPr>
            <w:tcW w:w="61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中国特色大国外交专题研究</w:t>
            </w:r>
          </w:p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3.30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38" w:type="pct"/>
            <w:vMerge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中国特色大国外交专题研究</w:t>
            </w:r>
          </w:p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4.13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中国特色大国外交专题研究</w:t>
            </w:r>
          </w:p>
          <w:p w:rsidR="00E5307B" w:rsidRDefault="00E5307B" w:rsidP="0082000E">
            <w:pPr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4.20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中国特色大国外交专题研究</w:t>
            </w:r>
          </w:p>
          <w:p w:rsidR="00E5307B" w:rsidRDefault="00E5307B" w:rsidP="0082000E">
            <w:pPr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4.27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74" w:type="pct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E5307B" w:rsidTr="0082000E">
        <w:trPr>
          <w:trHeight w:val="604"/>
          <w:jc w:val="center"/>
        </w:trPr>
        <w:tc>
          <w:tcPr>
            <w:tcW w:w="299" w:type="pct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spacing w:beforeLines="50" w:before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星期日</w:t>
            </w:r>
          </w:p>
        </w:tc>
        <w:tc>
          <w:tcPr>
            <w:tcW w:w="331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18:00-19:30</w:t>
            </w:r>
          </w:p>
        </w:tc>
        <w:tc>
          <w:tcPr>
            <w:tcW w:w="61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国际组织与全球治理（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3.31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38" w:type="pct"/>
            <w:vMerge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国际组织与全球治理（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4.14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国际组织与全球治理（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4.21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在校日</w:t>
            </w:r>
          </w:p>
        </w:tc>
        <w:tc>
          <w:tcPr>
            <w:tcW w:w="674" w:type="pct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5307B" w:rsidRDefault="00E5307B" w:rsidP="0082000E">
            <w:pPr>
              <w:jc w:val="both"/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国际组织与全球治理（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5.12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</w:tr>
      <w:tr w:rsidR="00E5307B" w:rsidTr="0082000E">
        <w:trPr>
          <w:trHeight w:val="312"/>
          <w:jc w:val="center"/>
        </w:trPr>
        <w:tc>
          <w:tcPr>
            <w:tcW w:w="299" w:type="pct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20:00-21:30</w:t>
            </w:r>
          </w:p>
        </w:tc>
        <w:tc>
          <w:tcPr>
            <w:tcW w:w="610" w:type="pct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</w:tcPr>
          <w:p w:rsidR="00E5307B" w:rsidRDefault="00E5307B" w:rsidP="0082000E">
            <w:pPr>
              <w:jc w:val="both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气候变化与可持续发展（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3.31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38" w:type="pct"/>
            <w:vMerge/>
            <w:tcBorders>
              <w:left w:val="single" w:sz="4" w:space="0" w:color="8EAADB"/>
              <w:right w:val="single" w:sz="4" w:space="0" w:color="8EAADB"/>
            </w:tcBorders>
          </w:tcPr>
          <w:p w:rsidR="00E5307B" w:rsidRDefault="00E5307B" w:rsidP="0082000E">
            <w:pPr>
              <w:jc w:val="both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</w:tcPr>
          <w:p w:rsidR="00E5307B" w:rsidRDefault="00E5307B" w:rsidP="0082000E">
            <w:pPr>
              <w:jc w:val="both"/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气候变化与可持续发展（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4.14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</w:tcPr>
          <w:p w:rsidR="00E5307B" w:rsidRDefault="00E5307B" w:rsidP="0082000E">
            <w:pPr>
              <w:jc w:val="both"/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气候变化与可持续发展（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4.21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674" w:type="pct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气候变化与可持续发展（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5.12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</w:tr>
      <w:tr w:rsidR="00E5307B" w:rsidTr="0082000E">
        <w:trPr>
          <w:trHeight w:val="397"/>
          <w:jc w:val="center"/>
        </w:trPr>
        <w:tc>
          <w:tcPr>
            <w:tcW w:w="299" w:type="pct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noWrap/>
            <w:vAlign w:val="center"/>
          </w:tcPr>
          <w:p w:rsidR="00E5307B" w:rsidRDefault="00E5307B" w:rsidP="0082000E">
            <w:pPr>
              <w:spacing w:beforeLines="50" w:before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331" w:type="pct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  <w:tl2br w:val="single" w:sz="4" w:space="0" w:color="000000"/>
            </w:tcBorders>
            <w:shd w:val="clear" w:color="auto" w:fill="D9E2F3"/>
            <w:vAlign w:val="center"/>
          </w:tcPr>
          <w:p w:rsidR="00E5307B" w:rsidRDefault="00E5307B" w:rsidP="0082000E">
            <w:pPr>
              <w:jc w:val="right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周</w:t>
            </w:r>
          </w:p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61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第八周</w:t>
            </w:r>
          </w:p>
        </w:tc>
        <w:tc>
          <w:tcPr>
            <w:tcW w:w="63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第九周</w:t>
            </w:r>
          </w:p>
        </w:tc>
        <w:tc>
          <w:tcPr>
            <w:tcW w:w="62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第十周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第十一周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第十二周</w:t>
            </w:r>
          </w:p>
        </w:tc>
        <w:tc>
          <w:tcPr>
            <w:tcW w:w="674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第十三周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2"/>
                <w:szCs w:val="22"/>
              </w:rPr>
              <w:t>（拟定）</w:t>
            </w:r>
          </w:p>
        </w:tc>
        <w:tc>
          <w:tcPr>
            <w:tcW w:w="608" w:type="pct"/>
            <w:vMerge w:val="restart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</w:tr>
      <w:tr w:rsidR="00E5307B" w:rsidTr="0082000E">
        <w:trPr>
          <w:trHeight w:val="20"/>
          <w:jc w:val="center"/>
        </w:trPr>
        <w:tc>
          <w:tcPr>
            <w:tcW w:w="299" w:type="pct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noWrap/>
            <w:vAlign w:val="center"/>
          </w:tcPr>
          <w:p w:rsidR="00E5307B" w:rsidRDefault="00E5307B" w:rsidP="0082000E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  <w:tl2br w:val="single" w:sz="4" w:space="0" w:color="000000"/>
            </w:tcBorders>
            <w:shd w:val="clear" w:color="auto" w:fill="D9E2F3"/>
            <w:vAlign w:val="center"/>
          </w:tcPr>
          <w:p w:rsidR="00E5307B" w:rsidRDefault="00E5307B" w:rsidP="0082000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5.13-5.19</w:t>
            </w:r>
          </w:p>
        </w:tc>
        <w:tc>
          <w:tcPr>
            <w:tcW w:w="63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5.20-5.26</w:t>
            </w:r>
          </w:p>
        </w:tc>
        <w:tc>
          <w:tcPr>
            <w:tcW w:w="62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5.27-6.2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6.3-6.9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6.10-6.16</w:t>
            </w:r>
          </w:p>
        </w:tc>
        <w:tc>
          <w:tcPr>
            <w:tcW w:w="674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6.17-6.23</w:t>
            </w:r>
          </w:p>
        </w:tc>
        <w:tc>
          <w:tcPr>
            <w:tcW w:w="608" w:type="pct"/>
            <w:vMerge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spacing w:beforeLines="50" w:before="156" w:afterLines="50" w:after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</w:tr>
      <w:tr w:rsidR="00E5307B" w:rsidTr="0082000E">
        <w:trPr>
          <w:trHeight w:val="570"/>
          <w:jc w:val="center"/>
        </w:trPr>
        <w:tc>
          <w:tcPr>
            <w:tcW w:w="299" w:type="pct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spacing w:beforeLines="50" w:before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星期六</w:t>
            </w:r>
          </w:p>
        </w:tc>
        <w:tc>
          <w:tcPr>
            <w:tcW w:w="331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18:00-19:30</w:t>
            </w:r>
          </w:p>
        </w:tc>
        <w:tc>
          <w:tcPr>
            <w:tcW w:w="61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英语演讲与辩论（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5.18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3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英语演讲与辩论</w:t>
            </w:r>
          </w:p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5.25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2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英语演讲与辩论（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6.1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vMerge w:val="restart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法定假日</w:t>
            </w:r>
          </w:p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-</w:t>
            </w:r>
          </w:p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端午节</w:t>
            </w: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英语演讲与辩论（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6.15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74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英语演讲与辩论（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6.22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vMerge w:val="restart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</w:p>
        </w:tc>
      </w:tr>
      <w:tr w:rsidR="00E5307B" w:rsidTr="0082000E">
        <w:trPr>
          <w:trHeight w:val="573"/>
          <w:jc w:val="center"/>
        </w:trPr>
        <w:tc>
          <w:tcPr>
            <w:tcW w:w="299" w:type="pct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spacing w:beforeLines="50" w:before="156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20:00-21:30</w:t>
            </w:r>
          </w:p>
        </w:tc>
        <w:tc>
          <w:tcPr>
            <w:tcW w:w="61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中国特色大国外交专题研究</w:t>
            </w:r>
          </w:p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5.18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3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中国特色大国外交专题研究</w:t>
            </w:r>
          </w:p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5.25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2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中国特色大国外交专题研究</w:t>
            </w:r>
          </w:p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6.1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vMerge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中国特色大国外交专题研究</w:t>
            </w:r>
          </w:p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6.15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74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中国特色大国外交专题研究</w:t>
            </w:r>
          </w:p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6.22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vMerge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</w:p>
        </w:tc>
      </w:tr>
      <w:tr w:rsidR="00E5307B" w:rsidTr="0082000E">
        <w:trPr>
          <w:trHeight w:val="570"/>
          <w:jc w:val="center"/>
        </w:trPr>
        <w:tc>
          <w:tcPr>
            <w:tcW w:w="299" w:type="pct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spacing w:beforeLines="50" w:before="156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  <w:t>星期日</w:t>
            </w:r>
          </w:p>
        </w:tc>
        <w:tc>
          <w:tcPr>
            <w:tcW w:w="331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18:00-19:30</w:t>
            </w:r>
          </w:p>
        </w:tc>
        <w:tc>
          <w:tcPr>
            <w:tcW w:w="61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国际组织与全球治理（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5.19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3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国际组织与全球治理（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5.26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2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国际组织与全球治理（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6.2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vMerge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国际组织与全球治理（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6.16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74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国际组织与全球治理（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6.23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vMerge/>
            <w:tcBorders>
              <w:left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</w:p>
        </w:tc>
      </w:tr>
      <w:tr w:rsidR="00E5307B" w:rsidTr="0082000E">
        <w:trPr>
          <w:trHeight w:val="570"/>
          <w:jc w:val="center"/>
        </w:trPr>
        <w:tc>
          <w:tcPr>
            <w:tcW w:w="299" w:type="pct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vAlign w:val="center"/>
          </w:tcPr>
          <w:p w:rsidR="00E5307B" w:rsidRDefault="00E5307B" w:rsidP="0082000E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20:00-21:30</w:t>
            </w:r>
          </w:p>
        </w:tc>
        <w:tc>
          <w:tcPr>
            <w:tcW w:w="61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气候变化与可持续发展（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5.19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3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气候变化与可持续发展（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5.26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20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气候变化与可持续发展（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6.2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vMerge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气候变化与可持续发展（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6.16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74" w:type="pc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气候变化与可持续发展（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6.23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608" w:type="pct"/>
            <w:vMerge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:rsidR="00E5307B" w:rsidRDefault="00E5307B" w:rsidP="0082000E">
            <w:pPr>
              <w:textAlignment w:val="center"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</w:p>
        </w:tc>
      </w:tr>
    </w:tbl>
    <w:p w:rsidR="000F3C9C" w:rsidRPr="00E5307B" w:rsidRDefault="000F3C9C">
      <w:bookmarkStart w:id="0" w:name="_GoBack"/>
      <w:bookmarkEnd w:id="0"/>
    </w:p>
    <w:sectPr w:rsidR="000F3C9C" w:rsidRPr="00E5307B" w:rsidSect="00E5307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1C" w:rsidRDefault="00DD281C" w:rsidP="00E5307B">
      <w:r>
        <w:separator/>
      </w:r>
    </w:p>
  </w:endnote>
  <w:endnote w:type="continuationSeparator" w:id="0">
    <w:p w:rsidR="00DD281C" w:rsidRDefault="00DD281C" w:rsidP="00E5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1C" w:rsidRDefault="00DD281C" w:rsidP="00E5307B">
      <w:r>
        <w:separator/>
      </w:r>
    </w:p>
  </w:footnote>
  <w:footnote w:type="continuationSeparator" w:id="0">
    <w:p w:rsidR="00DD281C" w:rsidRDefault="00DD281C" w:rsidP="00E5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CA"/>
    <w:rsid w:val="000F3C9C"/>
    <w:rsid w:val="006429CA"/>
    <w:rsid w:val="00DD281C"/>
    <w:rsid w:val="00E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51686-DCC6-4653-8F97-1AB06A6B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5307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07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0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07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0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2024-03-05T01:56:00Z</dcterms:created>
  <dc:creator>马骁</dc:creator>
  <cp:lastModifiedBy>马骁</cp:lastModifiedBy>
  <dcterms:modified xsi:type="dcterms:W3CDTF">2024-03-05T01:56:00Z</dcterms:modified>
  <cp:revision>2</cp:revision>
</cp:coreProperties>
</file>