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9" w:line="201" w:lineRule="auto"/>
        <w:jc w:val="center"/>
        <w:rPr>
          <w:rFonts w:hint="eastAsia" w:ascii="华文楷体" w:hAnsi="华文楷体" w:eastAsia="华文楷体" w:cs="华文楷体"/>
          <w:spacing w:val="-10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华文楷体" w:hAnsi="华文楷体" w:eastAsia="华文楷体" w:cs="华文楷体"/>
          <w:spacing w:val="-10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《新青年全球胜任力人才</w:t>
      </w:r>
      <w:r>
        <w:rPr>
          <w:rFonts w:hint="eastAsia" w:ascii="华文楷体" w:hAnsi="华文楷体" w:eastAsia="华文楷体" w:cs="华文楷体"/>
          <w:spacing w:val="-10"/>
          <w:sz w:val="28"/>
          <w:szCs w:val="28"/>
          <w:lang w:eastAsia="zh-CN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培养计划</w:t>
      </w:r>
      <w:r>
        <w:rPr>
          <w:rFonts w:hint="eastAsia" w:ascii="华文楷体" w:hAnsi="华文楷体" w:eastAsia="华文楷体" w:cs="华文楷体"/>
          <w:spacing w:val="-10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2" w:line="240" w:lineRule="auto"/>
        <w:jc w:val="center"/>
        <w:textAlignment w:val="baseline"/>
        <w:rPr>
          <w:rFonts w:hint="default" w:ascii="Times New Roman" w:hAnsi="Times New Roman" w:eastAsia="微软雅黑" w:cs="Times New Roman"/>
          <w:sz w:val="52"/>
          <w:szCs w:val="52"/>
        </w:rPr>
      </w:pPr>
      <w:r>
        <w:rPr>
          <w:rFonts w:hint="default" w:ascii="Times New Roman" w:hAnsi="Times New Roman" w:eastAsia="华文隶书" w:cs="Times New Roman"/>
          <w:color w:val="FF0000"/>
          <w:spacing w:val="-3"/>
          <w:sz w:val="72"/>
          <w:szCs w:val="72"/>
          <w:lang w:val="en-US" w:eastAsia="zh-Hans"/>
        </w:rPr>
        <w:t>培  养  方  案</w:t>
      </w:r>
    </w:p>
    <w:p>
      <w:pPr>
        <w:spacing w:before="157" w:line="220" w:lineRule="auto"/>
        <w:jc w:val="center"/>
        <w:rPr>
          <w:rFonts w:hint="default" w:ascii="Times New Roman" w:hAnsi="Times New Roman" w:eastAsia="华文楷体" w:cs="Times New Roman"/>
          <w:sz w:val="24"/>
          <w:szCs w:val="24"/>
        </w:rPr>
      </w:pPr>
      <w:r>
        <w:rPr>
          <w:rFonts w:hint="default" w:ascii="Times New Roman" w:hAnsi="Times New Roman" w:eastAsia="华文楷体" w:cs="Times New Roman"/>
          <w:spacing w:val="2"/>
          <w:sz w:val="24"/>
          <w:szCs w:val="24"/>
        </w:rPr>
        <w:t>(20</w:t>
      </w:r>
      <w:r>
        <w:rPr>
          <w:rFonts w:hint="default" w:ascii="Times New Roman" w:hAnsi="Times New Roman" w:eastAsia="华文楷体" w:cs="Times New Roman"/>
          <w:spacing w:val="2"/>
          <w:sz w:val="24"/>
          <w:szCs w:val="24"/>
          <w:lang w:val="en-US" w:eastAsia="zh-CN"/>
        </w:rPr>
        <w:t>24</w:t>
      </w:r>
      <w:r>
        <w:rPr>
          <w:rFonts w:hint="default" w:ascii="Times New Roman" w:hAnsi="Times New Roman" w:eastAsia="华文楷体" w:cs="Times New Roman"/>
          <w:spacing w:val="2"/>
          <w:sz w:val="24"/>
          <w:szCs w:val="24"/>
        </w:rPr>
        <w:t xml:space="preserve">年高校学生版 </w:t>
      </w:r>
      <w:r>
        <w:rPr>
          <w:rFonts w:hint="default" w:ascii="Times New Roman" w:hAnsi="Times New Roman" w:eastAsia="华文楷体" w:cs="Times New Roman"/>
          <w:spacing w:val="1"/>
          <w:sz w:val="24"/>
          <w:szCs w:val="24"/>
        </w:rPr>
        <w:t>·新青年全球胜任力人才</w:t>
      </w:r>
      <w:r>
        <w:rPr>
          <w:rFonts w:hint="eastAsia" w:ascii="Times New Roman" w:hAnsi="Times New Roman" w:eastAsia="华文楷体" w:cs="Times New Roman"/>
          <w:spacing w:val="1"/>
          <w:sz w:val="24"/>
          <w:szCs w:val="24"/>
          <w:lang w:eastAsia="zh-CN"/>
        </w:rPr>
        <w:t>培养计划</w:t>
      </w:r>
      <w:r>
        <w:rPr>
          <w:rFonts w:hint="default" w:ascii="Times New Roman" w:hAnsi="Times New Roman" w:eastAsia="华文楷体" w:cs="Times New Roman"/>
          <w:spacing w:val="1"/>
          <w:sz w:val="24"/>
          <w:szCs w:val="24"/>
        </w:rPr>
        <w:t>版权所有)</w:t>
      </w:r>
    </w:p>
    <w:p>
      <w:pPr>
        <w:spacing w:before="355" w:line="194" w:lineRule="auto"/>
        <w:ind w:left="33"/>
        <w:jc w:val="both"/>
        <w:rPr>
          <w:rFonts w:hint="default" w:ascii="Times New Roman" w:hAnsi="Times New Roman" w:eastAsia="华文楷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华文楷体" w:cs="Times New Roman"/>
          <w:b/>
          <w:bCs/>
          <w:spacing w:val="-21"/>
          <w:sz w:val="28"/>
          <w:szCs w:val="28"/>
        </w:rPr>
        <w:t>一、  培养目标</w:t>
      </w:r>
    </w:p>
    <w:p>
      <w:pPr>
        <w:spacing w:before="249" w:line="309" w:lineRule="auto"/>
        <w:ind w:left="34" w:right="28" w:firstLine="483"/>
        <w:jc w:val="both"/>
        <w:rPr>
          <w:rFonts w:hint="default" w:ascii="Times New Roman" w:hAnsi="Times New Roman" w:eastAsia="华文楷体" w:cs="Times New Roman"/>
          <w:sz w:val="24"/>
          <w:szCs w:val="24"/>
        </w:rPr>
      </w:pPr>
      <w:r>
        <w:rPr>
          <w:rFonts w:hint="default" w:ascii="Times New Roman" w:hAnsi="Times New Roman" w:eastAsia="华文楷体" w:cs="Times New Roman"/>
          <w:spacing w:val="-3"/>
          <w:sz w:val="24"/>
          <w:szCs w:val="24"/>
        </w:rPr>
        <w:t>新青年全球胜任力人才</w:t>
      </w:r>
      <w:r>
        <w:rPr>
          <w:rFonts w:hint="eastAsia" w:ascii="Times New Roman" w:hAnsi="Times New Roman" w:eastAsia="华文楷体" w:cs="Times New Roman"/>
          <w:spacing w:val="-3"/>
          <w:sz w:val="24"/>
          <w:szCs w:val="24"/>
          <w:lang w:eastAsia="zh-CN"/>
        </w:rPr>
        <w:t>培养计划</w:t>
      </w:r>
      <w:r>
        <w:rPr>
          <w:rFonts w:hint="default" w:ascii="Times New Roman" w:hAnsi="Times New Roman" w:eastAsia="华文楷体" w:cs="Times New Roman"/>
          <w:spacing w:val="-3"/>
          <w:sz w:val="24"/>
          <w:szCs w:val="24"/>
        </w:rPr>
        <w:t>由针对性的系列课程和实践活动组成，旨</w:t>
      </w:r>
      <w:r>
        <w:rPr>
          <w:rFonts w:hint="default" w:ascii="Times New Roman" w:hAnsi="Times New Roman" w:eastAsia="华文楷体" w:cs="Times New Roman"/>
          <w:spacing w:val="-2"/>
          <w:sz w:val="24"/>
          <w:szCs w:val="24"/>
        </w:rPr>
        <w:t>在</w:t>
      </w:r>
      <w:r>
        <w:rPr>
          <w:rFonts w:hint="default" w:ascii="Times New Roman" w:hAnsi="Times New Roman" w:eastAsia="华文楷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华文楷体" w:cs="Times New Roman"/>
          <w:spacing w:val="-10"/>
          <w:sz w:val="24"/>
          <w:szCs w:val="24"/>
        </w:rPr>
        <w:t>培养具有家</w:t>
      </w:r>
      <w:r>
        <w:rPr>
          <w:rFonts w:hint="default" w:ascii="Times New Roman" w:hAnsi="Times New Roman" w:eastAsia="华文楷体" w:cs="Times New Roman"/>
          <w:spacing w:val="-7"/>
          <w:sz w:val="24"/>
          <w:szCs w:val="24"/>
        </w:rPr>
        <w:t>国</w:t>
      </w:r>
      <w:r>
        <w:rPr>
          <w:rFonts w:hint="default" w:ascii="Times New Roman" w:hAnsi="Times New Roman" w:eastAsia="华文楷体" w:cs="Times New Roman"/>
          <w:spacing w:val="-5"/>
          <w:sz w:val="24"/>
          <w:szCs w:val="24"/>
        </w:rPr>
        <w:t>情怀、国际视野和跨文化沟通能力的国际化复合型人才， 提升学习</w:t>
      </w:r>
      <w:r>
        <w:rPr>
          <w:rFonts w:hint="default" w:ascii="Times New Roman" w:hAnsi="Times New Roman" w:eastAsia="华文楷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华文楷体" w:cs="Times New Roman"/>
          <w:spacing w:val="-4"/>
          <w:sz w:val="24"/>
          <w:szCs w:val="24"/>
        </w:rPr>
        <w:t>者的国际竞争力和在国际</w:t>
      </w:r>
      <w:r>
        <w:rPr>
          <w:rFonts w:hint="default" w:ascii="Times New Roman" w:hAnsi="Times New Roman" w:eastAsia="华文楷体" w:cs="Times New Roman"/>
          <w:spacing w:val="-2"/>
          <w:sz w:val="24"/>
          <w:szCs w:val="24"/>
        </w:rPr>
        <w:t>组织、大型国企、跨国公司、涉外机构、大众传媒以及</w:t>
      </w:r>
      <w:r>
        <w:rPr>
          <w:rFonts w:hint="default" w:ascii="Times New Roman" w:hAnsi="Times New Roman" w:eastAsia="华文楷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华文楷体" w:cs="Times New Roman"/>
          <w:spacing w:val="-4"/>
          <w:sz w:val="24"/>
          <w:szCs w:val="24"/>
        </w:rPr>
        <w:t>政</w:t>
      </w:r>
      <w:r>
        <w:rPr>
          <w:rFonts w:hint="default" w:ascii="Times New Roman" w:hAnsi="Times New Roman" w:eastAsia="华文楷体" w:cs="Times New Roman"/>
          <w:spacing w:val="-2"/>
          <w:sz w:val="24"/>
          <w:szCs w:val="24"/>
        </w:rPr>
        <w:t>府部门相关岗位的任职和工作能力。</w:t>
      </w:r>
    </w:p>
    <w:p>
      <w:pPr>
        <w:spacing w:before="81" w:line="206" w:lineRule="auto"/>
        <w:ind w:left="517"/>
        <w:jc w:val="both"/>
        <w:rPr>
          <w:rFonts w:hint="default" w:ascii="Times New Roman" w:hAnsi="Times New Roman" w:eastAsia="华文楷体" w:cs="Times New Roman"/>
          <w:sz w:val="24"/>
          <w:szCs w:val="24"/>
        </w:rPr>
      </w:pPr>
      <w:r>
        <w:rPr>
          <w:rFonts w:hint="default" w:ascii="Times New Roman" w:hAnsi="Times New Roman" w:eastAsia="华文楷体" w:cs="Times New Roman"/>
          <w:spacing w:val="-7"/>
          <w:sz w:val="24"/>
          <w:szCs w:val="24"/>
        </w:rPr>
        <w:t>项</w:t>
      </w:r>
      <w:r>
        <w:rPr>
          <w:rFonts w:hint="default" w:ascii="Times New Roman" w:hAnsi="Times New Roman" w:eastAsia="华文楷体" w:cs="Times New Roman"/>
          <w:spacing w:val="-4"/>
          <w:sz w:val="24"/>
          <w:szCs w:val="24"/>
        </w:rPr>
        <w:t>目的具体培养目标包括：</w:t>
      </w:r>
    </w:p>
    <w:p>
      <w:pPr>
        <w:spacing w:before="261" w:line="311" w:lineRule="auto"/>
        <w:ind w:left="34" w:right="27" w:firstLine="588"/>
        <w:jc w:val="both"/>
        <w:rPr>
          <w:rFonts w:hint="default" w:ascii="Times New Roman" w:hAnsi="Times New Roman" w:eastAsia="华文楷体" w:cs="Times New Roman"/>
          <w:sz w:val="24"/>
          <w:szCs w:val="24"/>
        </w:rPr>
      </w:pPr>
      <w:r>
        <w:rPr>
          <w:rFonts w:hint="default" w:ascii="Times New Roman" w:hAnsi="Times New Roman" w:eastAsia="华文楷体" w:cs="Times New Roman"/>
          <w:spacing w:val="-18"/>
          <w:sz w:val="24"/>
          <w:szCs w:val="24"/>
        </w:rPr>
        <w:t>1</w:t>
      </w:r>
      <w:r>
        <w:rPr>
          <w:rFonts w:hint="default" w:ascii="Times New Roman" w:hAnsi="Times New Roman" w:eastAsia="华文楷体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eastAsia="华文楷体" w:cs="Times New Roman"/>
          <w:spacing w:val="-9"/>
          <w:sz w:val="24"/>
          <w:szCs w:val="24"/>
        </w:rPr>
        <w:t>、 正确深入了解中国改革与发展成就，  增强“四个自信”，理解中国故事及</w:t>
      </w:r>
      <w:r>
        <w:rPr>
          <w:rFonts w:hint="default" w:ascii="Times New Roman" w:hAnsi="Times New Roman" w:eastAsia="华文楷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华文楷体" w:cs="Times New Roman"/>
          <w:spacing w:val="-6"/>
          <w:sz w:val="24"/>
          <w:szCs w:val="24"/>
        </w:rPr>
        <w:t>其背后的思</w:t>
      </w:r>
      <w:r>
        <w:rPr>
          <w:rFonts w:hint="default" w:ascii="Times New Roman" w:hAnsi="Times New Roman" w:eastAsia="华文楷体" w:cs="Times New Roman"/>
          <w:spacing w:val="-4"/>
          <w:sz w:val="24"/>
          <w:szCs w:val="24"/>
        </w:rPr>
        <w:t>想</w:t>
      </w:r>
      <w:r>
        <w:rPr>
          <w:rFonts w:hint="default" w:ascii="Times New Roman" w:hAnsi="Times New Roman" w:eastAsia="华文楷体" w:cs="Times New Roman"/>
          <w:spacing w:val="-3"/>
          <w:sz w:val="24"/>
          <w:szCs w:val="24"/>
        </w:rPr>
        <w:t>力量和精神力量； 深化对构建人类命运共同体和“一带一路”倡议的</w:t>
      </w:r>
      <w:r>
        <w:rPr>
          <w:rFonts w:hint="default" w:ascii="Times New Roman" w:hAnsi="Times New Roman" w:eastAsia="华文楷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华文楷体" w:cs="Times New Roman"/>
          <w:spacing w:val="-4"/>
          <w:sz w:val="24"/>
          <w:szCs w:val="24"/>
        </w:rPr>
        <w:t>认识，</w:t>
      </w:r>
      <w:r>
        <w:rPr>
          <w:rFonts w:hint="default" w:ascii="Times New Roman" w:hAnsi="Times New Roman" w:eastAsia="华文楷体" w:cs="Times New Roman"/>
          <w:spacing w:val="-2"/>
          <w:sz w:val="24"/>
          <w:szCs w:val="24"/>
        </w:rPr>
        <w:t>增强人类命运共同体意识。</w:t>
      </w:r>
    </w:p>
    <w:p>
      <w:pPr>
        <w:spacing w:before="78" w:line="312" w:lineRule="auto"/>
        <w:ind w:left="36" w:right="27" w:firstLine="563"/>
        <w:jc w:val="both"/>
        <w:rPr>
          <w:rFonts w:hint="default" w:ascii="Times New Roman" w:hAnsi="Times New Roman" w:eastAsia="华文楷体" w:cs="Times New Roman"/>
          <w:sz w:val="24"/>
          <w:szCs w:val="24"/>
        </w:rPr>
      </w:pPr>
      <w:r>
        <w:rPr>
          <w:rFonts w:hint="default" w:ascii="Times New Roman" w:hAnsi="Times New Roman" w:eastAsia="华文楷体" w:cs="Times New Roman"/>
          <w:spacing w:val="-24"/>
          <w:sz w:val="24"/>
          <w:szCs w:val="24"/>
        </w:rPr>
        <w:t>2</w:t>
      </w:r>
      <w:r>
        <w:rPr>
          <w:rFonts w:hint="default" w:ascii="Times New Roman" w:hAnsi="Times New Roman" w:eastAsia="华文楷体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eastAsia="华文楷体" w:cs="Times New Roman"/>
          <w:spacing w:val="-12"/>
          <w:sz w:val="24"/>
          <w:szCs w:val="24"/>
        </w:rPr>
        <w:t>、 了解世界人文、经济与社会发展；提升对多边主义和国际合作的认识；</w:t>
      </w:r>
      <w:r>
        <w:rPr>
          <w:rFonts w:hint="default" w:ascii="Times New Roman" w:hAnsi="Times New Roman" w:eastAsia="华文楷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华文楷体" w:cs="Times New Roman"/>
          <w:spacing w:val="-16"/>
          <w:sz w:val="24"/>
          <w:szCs w:val="24"/>
        </w:rPr>
        <w:t>了解</w:t>
      </w:r>
      <w:r>
        <w:rPr>
          <w:rFonts w:hint="default" w:ascii="Times New Roman" w:hAnsi="Times New Roman" w:eastAsia="华文楷体" w:cs="Times New Roman"/>
          <w:spacing w:val="-14"/>
          <w:sz w:val="24"/>
          <w:szCs w:val="24"/>
        </w:rPr>
        <w:t>国</w:t>
      </w:r>
      <w:r>
        <w:rPr>
          <w:rFonts w:hint="default" w:ascii="Times New Roman" w:hAnsi="Times New Roman" w:eastAsia="华文楷体" w:cs="Times New Roman"/>
          <w:spacing w:val="-8"/>
          <w:sz w:val="24"/>
          <w:szCs w:val="24"/>
        </w:rPr>
        <w:t>际组织；理解全球政治和文化差异；关注并理解能源、环境、健康、安全</w:t>
      </w:r>
      <w:r>
        <w:rPr>
          <w:rFonts w:hint="default" w:ascii="Times New Roman" w:hAnsi="Times New Roman" w:eastAsia="华文楷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华文楷体" w:cs="Times New Roman"/>
          <w:spacing w:val="-8"/>
          <w:sz w:val="24"/>
          <w:szCs w:val="24"/>
        </w:rPr>
        <w:t>等</w:t>
      </w:r>
      <w:r>
        <w:rPr>
          <w:rFonts w:hint="default" w:ascii="Times New Roman" w:hAnsi="Times New Roman" w:eastAsia="华文楷体" w:cs="Times New Roman"/>
          <w:spacing w:val="-5"/>
          <w:sz w:val="24"/>
          <w:szCs w:val="24"/>
        </w:rPr>
        <w:t>全球议题。</w:t>
      </w:r>
    </w:p>
    <w:p>
      <w:pPr>
        <w:spacing w:before="77" w:line="309" w:lineRule="auto"/>
        <w:ind w:left="35" w:right="28" w:firstLine="569"/>
        <w:jc w:val="both"/>
        <w:rPr>
          <w:rFonts w:hint="default" w:ascii="Times New Roman" w:hAnsi="Times New Roman" w:eastAsia="华文楷体" w:cs="Times New Roman"/>
          <w:sz w:val="24"/>
          <w:szCs w:val="24"/>
        </w:rPr>
      </w:pPr>
      <w:r>
        <w:rPr>
          <w:rFonts w:hint="default" w:ascii="Times New Roman" w:hAnsi="Times New Roman" w:eastAsia="华文楷体" w:cs="Times New Roman"/>
          <w:spacing w:val="-24"/>
          <w:sz w:val="24"/>
          <w:szCs w:val="24"/>
        </w:rPr>
        <w:t>3</w:t>
      </w:r>
      <w:r>
        <w:rPr>
          <w:rFonts w:hint="default" w:ascii="Times New Roman" w:hAnsi="Times New Roman" w:eastAsia="华文楷体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eastAsia="华文楷体" w:cs="Times New Roman"/>
          <w:spacing w:val="-12"/>
          <w:sz w:val="24"/>
          <w:szCs w:val="24"/>
        </w:rPr>
        <w:t>、 学会如何讲好中国故事， 传播好中国声音，展示真实、立体、全面的中</w:t>
      </w:r>
      <w:r>
        <w:rPr>
          <w:rFonts w:hint="default" w:ascii="Times New Roman" w:hAnsi="Times New Roman" w:eastAsia="华文楷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华文楷体" w:cs="Times New Roman"/>
          <w:spacing w:val="-16"/>
          <w:sz w:val="24"/>
          <w:szCs w:val="24"/>
        </w:rPr>
        <w:t>国；</w:t>
      </w:r>
      <w:r>
        <w:rPr>
          <w:rFonts w:hint="default" w:ascii="Times New Roman" w:hAnsi="Times New Roman" w:eastAsia="华文楷体" w:cs="Times New Roman"/>
          <w:spacing w:val="-8"/>
          <w:sz w:val="24"/>
          <w:szCs w:val="24"/>
        </w:rPr>
        <w:t xml:space="preserve"> 提升学生与不同文化背景的人友好互动的能力；学习如何在国际交往中站稳</w:t>
      </w:r>
      <w:r>
        <w:rPr>
          <w:rFonts w:hint="default" w:ascii="Times New Roman" w:hAnsi="Times New Roman" w:eastAsia="华文楷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华文楷体" w:cs="Times New Roman"/>
          <w:spacing w:val="-16"/>
          <w:sz w:val="24"/>
          <w:szCs w:val="24"/>
        </w:rPr>
        <w:t>立场</w:t>
      </w:r>
      <w:r>
        <w:rPr>
          <w:rFonts w:hint="default" w:ascii="Times New Roman" w:hAnsi="Times New Roman" w:eastAsia="华文楷体" w:cs="Times New Roman"/>
          <w:spacing w:val="-13"/>
          <w:sz w:val="24"/>
          <w:szCs w:val="24"/>
        </w:rPr>
        <w:t>且</w:t>
      </w:r>
      <w:r>
        <w:rPr>
          <w:rFonts w:hint="default" w:ascii="Times New Roman" w:hAnsi="Times New Roman" w:eastAsia="华文楷体" w:cs="Times New Roman"/>
          <w:spacing w:val="-8"/>
          <w:sz w:val="24"/>
          <w:szCs w:val="24"/>
        </w:rPr>
        <w:t>方式得当；提高在国际交往中化解冲突与矛盾的能力；提高国际学术交流</w:t>
      </w:r>
      <w:r>
        <w:rPr>
          <w:rFonts w:hint="default" w:ascii="Times New Roman" w:hAnsi="Times New Roman" w:eastAsia="华文楷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华文楷体" w:cs="Times New Roman"/>
          <w:spacing w:val="-4"/>
          <w:sz w:val="24"/>
          <w:szCs w:val="24"/>
        </w:rPr>
        <w:t>能力；提</w:t>
      </w:r>
      <w:r>
        <w:rPr>
          <w:rFonts w:hint="default" w:ascii="Times New Roman" w:hAnsi="Times New Roman" w:eastAsia="华文楷体" w:cs="Times New Roman"/>
          <w:spacing w:val="-2"/>
          <w:sz w:val="24"/>
          <w:szCs w:val="24"/>
        </w:rPr>
        <w:t>升自我国际竞争能力。</w:t>
      </w:r>
    </w:p>
    <w:p>
      <w:pPr>
        <w:spacing w:before="167" w:line="194" w:lineRule="auto"/>
        <w:ind w:left="36"/>
        <w:jc w:val="both"/>
        <w:rPr>
          <w:rFonts w:hint="default" w:ascii="Times New Roman" w:hAnsi="Times New Roman" w:eastAsia="华文楷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华文楷体" w:cs="Times New Roman"/>
          <w:b/>
          <w:bCs/>
          <w:spacing w:val="-25"/>
          <w:sz w:val="28"/>
          <w:szCs w:val="28"/>
        </w:rPr>
        <w:t>二</w:t>
      </w:r>
      <w:r>
        <w:rPr>
          <w:rFonts w:hint="default" w:ascii="Times New Roman" w:hAnsi="Times New Roman" w:eastAsia="华文楷体" w:cs="Times New Roman"/>
          <w:b/>
          <w:bCs/>
          <w:spacing w:val="-21"/>
          <w:sz w:val="28"/>
          <w:szCs w:val="28"/>
        </w:rPr>
        <w:t>、  培养方式</w:t>
      </w:r>
    </w:p>
    <w:p>
      <w:pPr>
        <w:spacing w:before="249" w:line="314" w:lineRule="auto"/>
        <w:ind w:left="53" w:right="29" w:firstLine="550"/>
        <w:jc w:val="both"/>
        <w:rPr>
          <w:rFonts w:hint="default" w:ascii="Times New Roman" w:hAnsi="Times New Roman" w:eastAsia="华文楷体" w:cs="Times New Roman"/>
          <w:sz w:val="24"/>
          <w:szCs w:val="24"/>
        </w:rPr>
      </w:pPr>
      <w:r>
        <w:rPr>
          <w:rFonts w:hint="default" w:ascii="Times New Roman" w:hAnsi="Times New Roman" w:eastAsia="华文楷体" w:cs="Times New Roman"/>
          <w:spacing w:val="-3"/>
          <w:sz w:val="24"/>
          <w:szCs w:val="24"/>
        </w:rPr>
        <w:t>本项目采用“理论+实践”的培养方式，即 9 门选修课程、  9 场结合课程</w:t>
      </w:r>
      <w:r>
        <w:rPr>
          <w:rFonts w:hint="default" w:ascii="Times New Roman" w:hAnsi="Times New Roman" w:eastAsia="华文楷体" w:cs="Times New Roman"/>
          <w:sz w:val="24"/>
          <w:szCs w:val="24"/>
        </w:rPr>
        <w:t xml:space="preserve">主题 </w:t>
      </w:r>
      <w:r>
        <w:rPr>
          <w:rFonts w:hint="default" w:ascii="Times New Roman" w:hAnsi="Times New Roman" w:eastAsia="华文楷体" w:cs="Times New Roman"/>
          <w:spacing w:val="-14"/>
          <w:sz w:val="24"/>
          <w:szCs w:val="24"/>
        </w:rPr>
        <w:t>的</w:t>
      </w:r>
      <w:r>
        <w:rPr>
          <w:rFonts w:hint="default" w:ascii="Times New Roman" w:hAnsi="Times New Roman" w:eastAsia="华文楷体" w:cs="Times New Roman"/>
          <w:spacing w:val="-10"/>
          <w:sz w:val="24"/>
          <w:szCs w:val="24"/>
        </w:rPr>
        <w:t>系</w:t>
      </w:r>
      <w:r>
        <w:rPr>
          <w:rFonts w:hint="default" w:ascii="Times New Roman" w:hAnsi="Times New Roman" w:eastAsia="华文楷体" w:cs="Times New Roman"/>
          <w:spacing w:val="-7"/>
          <w:sz w:val="24"/>
          <w:szCs w:val="24"/>
        </w:rPr>
        <w:t>列讲座，以及与课程教学有机衔接的 9 项国内外实践活动，简称“999 模式”。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8" w:line="315" w:lineRule="auto"/>
        <w:ind w:right="34"/>
        <w:jc w:val="both"/>
        <w:textAlignment w:val="baseline"/>
        <w:rPr>
          <w:rFonts w:hint="default" w:ascii="Times New Roman" w:hAnsi="Times New Roman" w:eastAsia="华文楷体" w:cs="Times New Roman"/>
          <w:sz w:val="24"/>
          <w:szCs w:val="24"/>
        </w:rPr>
      </w:pPr>
      <w:r>
        <w:rPr>
          <w:rFonts w:hint="default" w:ascii="Times New Roman" w:hAnsi="Times New Roman" w:eastAsia="华文楷体" w:cs="Times New Roman"/>
          <w:spacing w:val="-6"/>
          <w:sz w:val="24"/>
          <w:szCs w:val="24"/>
        </w:rPr>
        <w:t>“课程”由</w:t>
      </w:r>
      <w:r>
        <w:rPr>
          <w:rFonts w:hint="default" w:ascii="Times New Roman" w:hAnsi="Times New Roman" w:eastAsia="华文楷体" w:cs="Times New Roman"/>
          <w:spacing w:val="-4"/>
          <w:sz w:val="24"/>
          <w:szCs w:val="24"/>
        </w:rPr>
        <w:t>“</w:t>
      </w:r>
      <w:r>
        <w:rPr>
          <w:rFonts w:hint="default" w:ascii="Times New Roman" w:hAnsi="Times New Roman" w:eastAsia="华文楷体" w:cs="Times New Roman"/>
          <w:spacing w:val="-3"/>
          <w:sz w:val="24"/>
          <w:szCs w:val="24"/>
        </w:rPr>
        <w:t>当代中国”、“国际理解”和“跨文化沟通”三个模块构成，9 门选修</w:t>
      </w:r>
      <w:r>
        <w:rPr>
          <w:rFonts w:hint="default" w:ascii="Times New Roman" w:hAnsi="Times New Roman" w:eastAsia="华文楷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华文楷体" w:cs="Times New Roman"/>
          <w:spacing w:val="-7"/>
          <w:sz w:val="24"/>
          <w:szCs w:val="24"/>
        </w:rPr>
        <w:t>课程和 9 场系列讲座总量约 160 学时，学生可根据自身情况灵活选择；“实践”</w:t>
      </w:r>
      <w:r>
        <w:rPr>
          <w:rFonts w:hint="default" w:ascii="Times New Roman" w:hAnsi="Times New Roman" w:eastAsia="华文楷体" w:cs="Times New Roman"/>
          <w:spacing w:val="-1"/>
          <w:sz w:val="24"/>
          <w:szCs w:val="24"/>
        </w:rPr>
        <w:t>是新青年全球胜任力人才</w:t>
      </w:r>
      <w:r>
        <w:rPr>
          <w:rFonts w:hint="eastAsia" w:ascii="Times New Roman" w:hAnsi="Times New Roman" w:eastAsia="华文楷体" w:cs="Times New Roman"/>
          <w:spacing w:val="-1"/>
          <w:sz w:val="24"/>
          <w:szCs w:val="24"/>
          <w:lang w:eastAsia="zh-CN"/>
        </w:rPr>
        <w:t>培养计划</w:t>
      </w:r>
      <w:r>
        <w:rPr>
          <w:rFonts w:hint="default" w:ascii="Times New Roman" w:hAnsi="Times New Roman" w:eastAsia="华文楷体" w:cs="Times New Roman"/>
          <w:spacing w:val="-1"/>
          <w:sz w:val="24"/>
          <w:szCs w:val="24"/>
        </w:rPr>
        <w:t>特设的国内外调研考察</w:t>
      </w:r>
      <w:r>
        <w:rPr>
          <w:rFonts w:hint="default" w:ascii="Times New Roman" w:hAnsi="Times New Roman" w:eastAsia="华文楷体" w:cs="Times New Roman"/>
          <w:sz w:val="24"/>
          <w:szCs w:val="24"/>
        </w:rPr>
        <w:t xml:space="preserve">、深度参访、研修研学、 </w:t>
      </w:r>
      <w:r>
        <w:rPr>
          <w:rFonts w:hint="default" w:ascii="Times New Roman" w:hAnsi="Times New Roman" w:eastAsia="华文楷体" w:cs="Times New Roman"/>
          <w:spacing w:val="-4"/>
          <w:sz w:val="24"/>
          <w:szCs w:val="24"/>
        </w:rPr>
        <w:t>实习实训等</w:t>
      </w:r>
      <w:r>
        <w:rPr>
          <w:rFonts w:hint="default" w:ascii="Times New Roman" w:hAnsi="Times New Roman" w:eastAsia="华文楷体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华文楷体" w:cs="Times New Roman"/>
          <w:spacing w:val="-2"/>
          <w:sz w:val="24"/>
          <w:szCs w:val="24"/>
        </w:rPr>
        <w:t>9 项系列活动。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2" w:line="206" w:lineRule="auto"/>
        <w:ind w:right="34"/>
        <w:jc w:val="both"/>
        <w:textAlignment w:val="baseline"/>
        <w:rPr>
          <w:rFonts w:hint="default" w:ascii="Times New Roman" w:hAnsi="Times New Roman" w:eastAsia="华文楷体" w:cs="Times New Roman"/>
          <w:sz w:val="24"/>
          <w:szCs w:val="24"/>
        </w:rPr>
      </w:pPr>
      <w:r>
        <w:rPr>
          <w:rFonts w:hint="default" w:ascii="Times New Roman" w:hAnsi="Times New Roman" w:eastAsia="华文楷体" w:cs="Times New Roman"/>
          <w:spacing w:val="-6"/>
          <w:sz w:val="24"/>
          <w:szCs w:val="24"/>
        </w:rPr>
        <w:t>1</w:t>
      </w:r>
      <w:r>
        <w:rPr>
          <w:rFonts w:hint="default" w:ascii="Times New Roman" w:hAnsi="Times New Roman" w:eastAsia="华文楷体" w:cs="Times New Roman"/>
          <w:spacing w:val="-5"/>
          <w:sz w:val="24"/>
          <w:szCs w:val="24"/>
        </w:rPr>
        <w:t xml:space="preserve"> 、学生可根据自身学习兴趣、学习能力和学习时间选择相关课程与活动。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8" w:line="206" w:lineRule="auto"/>
        <w:ind w:right="34"/>
        <w:jc w:val="both"/>
        <w:textAlignment w:val="baseline"/>
        <w:rPr>
          <w:rFonts w:hint="default" w:ascii="Times New Roman" w:hAnsi="Times New Roman" w:eastAsia="华文楷体" w:cs="Times New Roman"/>
          <w:spacing w:val="-5"/>
          <w:sz w:val="24"/>
          <w:szCs w:val="24"/>
        </w:rPr>
      </w:pPr>
      <w:r>
        <w:rPr>
          <w:rFonts w:hint="default" w:ascii="Times New Roman" w:hAnsi="Times New Roman" w:eastAsia="华文楷体" w:cs="Times New Roman"/>
          <w:spacing w:val="-9"/>
          <w:sz w:val="24"/>
          <w:szCs w:val="24"/>
        </w:rPr>
        <w:t>2</w:t>
      </w:r>
      <w:r>
        <w:rPr>
          <w:rFonts w:hint="default" w:ascii="Times New Roman" w:hAnsi="Times New Roman" w:eastAsia="华文楷体" w:cs="Times New Roman"/>
          <w:spacing w:val="-5"/>
          <w:sz w:val="24"/>
          <w:szCs w:val="24"/>
        </w:rPr>
        <w:t xml:space="preserve"> 、学生至少需每模块选修一门课程方可获得项目结业证书。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8" w:line="206" w:lineRule="auto"/>
        <w:ind w:right="34"/>
        <w:jc w:val="both"/>
        <w:textAlignment w:val="baseline"/>
        <w:rPr>
          <w:rFonts w:hint="default" w:ascii="Times New Roman" w:hAnsi="Times New Roman" w:eastAsia="华文楷体" w:cs="Times New Roman"/>
          <w:sz w:val="24"/>
          <w:szCs w:val="24"/>
        </w:rPr>
      </w:pPr>
      <w:r>
        <w:rPr>
          <w:rFonts w:hint="default" w:ascii="Times New Roman" w:hAnsi="Times New Roman" w:eastAsia="华文楷体" w:cs="Times New Roman"/>
          <w:spacing w:val="-1"/>
          <w:sz w:val="24"/>
          <w:szCs w:val="24"/>
        </w:rPr>
        <w:t>3 、学校可视情为</w:t>
      </w:r>
      <w:r>
        <w:rPr>
          <w:rFonts w:hint="default" w:ascii="Times New Roman" w:hAnsi="Times New Roman" w:eastAsia="华文楷体" w:cs="Times New Roman"/>
          <w:sz w:val="24"/>
          <w:szCs w:val="24"/>
        </w:rPr>
        <w:t>课程赋予相应学分；部分课程或可与学校已开设课程进</w:t>
      </w:r>
      <w:r>
        <w:rPr>
          <w:rFonts w:hint="default" w:ascii="Times New Roman" w:hAnsi="Times New Roman" w:eastAsia="华文楷体" w:cs="Times New Roman"/>
          <w:spacing w:val="-9"/>
          <w:sz w:val="24"/>
          <w:szCs w:val="24"/>
        </w:rPr>
        <w:t>行</w:t>
      </w:r>
      <w:r>
        <w:rPr>
          <w:rFonts w:hint="default" w:ascii="Times New Roman" w:hAnsi="Times New Roman" w:eastAsia="华文楷体" w:cs="Times New Roman"/>
          <w:spacing w:val="-7"/>
          <w:sz w:val="24"/>
          <w:szCs w:val="24"/>
        </w:rPr>
        <w:t>替换。</w:t>
      </w:r>
    </w:p>
    <w:p>
      <w:pPr>
        <w:spacing w:before="340" w:line="195" w:lineRule="auto"/>
        <w:jc w:val="both"/>
        <w:rPr>
          <w:rFonts w:hint="default" w:ascii="Times New Roman" w:hAnsi="Times New Roman" w:eastAsia="华文楷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华文楷体" w:cs="Times New Roman"/>
          <w:b/>
          <w:bCs/>
          <w:spacing w:val="-25"/>
          <w:sz w:val="28"/>
          <w:szCs w:val="28"/>
        </w:rPr>
        <w:t>三</w:t>
      </w:r>
      <w:r>
        <w:rPr>
          <w:rFonts w:hint="default" w:ascii="Times New Roman" w:hAnsi="Times New Roman" w:eastAsia="华文楷体" w:cs="Times New Roman"/>
          <w:b/>
          <w:bCs/>
          <w:spacing w:val="-21"/>
          <w:sz w:val="28"/>
          <w:szCs w:val="28"/>
        </w:rPr>
        <w:t>、  授课方式</w:t>
      </w:r>
    </w:p>
    <w:p>
      <w:pPr>
        <w:spacing w:before="151" w:line="206" w:lineRule="auto"/>
        <w:ind w:left="678"/>
        <w:jc w:val="both"/>
        <w:rPr>
          <w:rFonts w:hint="default" w:ascii="Times New Roman" w:hAnsi="Times New Roman" w:eastAsia="华文楷体" w:cs="Times New Roman"/>
          <w:sz w:val="24"/>
          <w:szCs w:val="24"/>
        </w:rPr>
      </w:pPr>
      <w:r>
        <w:rPr>
          <w:rFonts w:hint="default" w:ascii="Times New Roman" w:hAnsi="Times New Roman" w:eastAsia="华文楷体" w:cs="Times New Roman"/>
          <w:spacing w:val="-4"/>
          <w:sz w:val="24"/>
          <w:szCs w:val="24"/>
        </w:rPr>
        <w:t>授</w:t>
      </w:r>
      <w:r>
        <w:rPr>
          <w:rFonts w:hint="default" w:ascii="Times New Roman" w:hAnsi="Times New Roman" w:eastAsia="华文楷体" w:cs="Times New Roman"/>
          <w:spacing w:val="-2"/>
          <w:sz w:val="24"/>
          <w:szCs w:val="24"/>
        </w:rPr>
        <w:t>课采用线上线下混合式教学的方式。</w:t>
      </w:r>
    </w:p>
    <w:p>
      <w:pPr>
        <w:spacing w:line="358" w:lineRule="auto"/>
        <w:jc w:val="both"/>
        <w:rPr>
          <w:rFonts w:hint="default" w:ascii="Times New Roman" w:hAnsi="Times New Roman" w:eastAsia="华文楷体" w:cs="Times New Roman"/>
          <w:sz w:val="21"/>
        </w:rPr>
      </w:pPr>
    </w:p>
    <w:p>
      <w:pPr>
        <w:numPr>
          <w:ilvl w:val="0"/>
          <w:numId w:val="1"/>
        </w:numPr>
        <w:spacing w:before="120" w:line="195" w:lineRule="auto"/>
        <w:jc w:val="both"/>
        <w:rPr>
          <w:rFonts w:hint="default" w:ascii="Times New Roman" w:hAnsi="Times New Roman" w:eastAsia="华文楷体" w:cs="Times New Roman"/>
          <w:b/>
          <w:bCs/>
          <w:spacing w:val="-23"/>
          <w:sz w:val="28"/>
          <w:szCs w:val="28"/>
        </w:rPr>
      </w:pPr>
      <w:r>
        <w:rPr>
          <w:rFonts w:hint="default" w:ascii="Times New Roman" w:hAnsi="Times New Roman" w:eastAsia="华文楷体" w:cs="Times New Roman"/>
          <w:b/>
          <w:bCs/>
          <w:spacing w:val="-23"/>
          <w:sz w:val="28"/>
          <w:szCs w:val="28"/>
        </w:rPr>
        <w:t xml:space="preserve"> 课程设置</w:t>
      </w:r>
    </w:p>
    <w:p>
      <w:pPr>
        <w:numPr>
          <w:ilvl w:val="0"/>
          <w:numId w:val="0"/>
        </w:numPr>
        <w:spacing w:before="120" w:line="195" w:lineRule="auto"/>
        <w:jc w:val="both"/>
        <w:rPr>
          <w:rFonts w:hint="eastAsia" w:ascii="Times New Roman" w:hAnsi="Times New Roman" w:eastAsia="华文楷体" w:cs="Times New Roman"/>
          <w:b/>
          <w:bCs/>
          <w:spacing w:val="-23"/>
          <w:sz w:val="10"/>
          <w:szCs w:val="10"/>
          <w:lang w:eastAsia="zh-CN"/>
        </w:rPr>
      </w:pPr>
    </w:p>
    <w:p>
      <w:pPr>
        <w:spacing w:line="86" w:lineRule="exact"/>
        <w:jc w:val="both"/>
        <w:rPr>
          <w:rFonts w:hint="default" w:ascii="Times New Roman" w:hAnsi="Times New Roman" w:eastAsia="华文楷体" w:cs="Times New Roman"/>
        </w:rPr>
      </w:pPr>
    </w:p>
    <w:tbl>
      <w:tblPr>
        <w:tblStyle w:val="7"/>
        <w:tblW w:w="8684" w:type="dxa"/>
        <w:tblInd w:w="2" w:type="dxa"/>
        <w:tblBorders>
          <w:top w:val="single" w:color="808080" w:sz="2" w:space="0"/>
          <w:left w:val="single" w:color="808080" w:sz="2" w:space="0"/>
          <w:bottom w:val="single" w:color="808080" w:sz="2" w:space="0"/>
          <w:right w:val="single" w:color="808080" w:sz="2" w:space="0"/>
          <w:insideH w:val="single" w:color="808080" w:sz="2" w:space="0"/>
          <w:insideV w:val="single" w:color="80808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8"/>
        <w:gridCol w:w="1274"/>
        <w:gridCol w:w="3755"/>
        <w:gridCol w:w="727"/>
        <w:gridCol w:w="667"/>
        <w:gridCol w:w="693"/>
      </w:tblGrid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single" w:color="808080" w:sz="2" w:space="0"/>
            <w:insideV w:val="single" w:color="80808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568" w:type="dxa"/>
            <w:shd w:val="clear" w:color="auto" w:fill="1F4E79"/>
            <w:vAlign w:val="top"/>
          </w:tcPr>
          <w:p>
            <w:pPr>
              <w:spacing w:before="214" w:line="207" w:lineRule="auto"/>
              <w:ind w:left="565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color w:val="FFFFFF"/>
                <w:spacing w:val="-1"/>
                <w:sz w:val="22"/>
                <w:szCs w:val="22"/>
                <w14:textOutline w14:w="4005" w14:cap="flat" w14:cmpd="sng">
                  <w14:solidFill>
                    <w14:srgbClr w14:val="FFFFFF"/>
                  </w14:solidFill>
                  <w14:prstDash w14:val="solid"/>
                  <w14:miter w14:val="0"/>
                </w14:textOutline>
              </w:rPr>
              <w:t>模块</w:t>
            </w:r>
          </w:p>
        </w:tc>
        <w:tc>
          <w:tcPr>
            <w:tcW w:w="1274" w:type="dxa"/>
            <w:shd w:val="clear" w:color="auto" w:fill="1F4E79"/>
            <w:vAlign w:val="top"/>
          </w:tcPr>
          <w:p>
            <w:pPr>
              <w:spacing w:before="214" w:line="209" w:lineRule="auto"/>
              <w:ind w:left="200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color w:val="FFFFFF"/>
                <w:spacing w:val="-1"/>
                <w:sz w:val="22"/>
                <w:szCs w:val="22"/>
                <w14:textOutline w14:w="4005" w14:cap="flat" w14:cmpd="sng">
                  <w14:solidFill>
                    <w14:srgbClr w14:val="FFFFFF"/>
                  </w14:solidFill>
                  <w14:prstDash w14:val="solid"/>
                  <w14:miter w14:val="0"/>
                </w14:textOutline>
              </w:rPr>
              <w:t>课程代</w:t>
            </w:r>
            <w:r>
              <w:rPr>
                <w:rFonts w:hint="default" w:ascii="Times New Roman" w:hAnsi="Times New Roman" w:eastAsia="华文楷体" w:cs="Times New Roman"/>
                <w:color w:val="FFFFFF"/>
                <w:sz w:val="22"/>
                <w:szCs w:val="22"/>
                <w14:textOutline w14:w="4005" w14:cap="flat" w14:cmpd="sng">
                  <w14:solidFill>
                    <w14:srgbClr w14:val="FFFFFF"/>
                  </w14:solidFill>
                  <w14:prstDash w14:val="solid"/>
                  <w14:miter w14:val="0"/>
                </w14:textOutline>
              </w:rPr>
              <w:t>码</w:t>
            </w:r>
          </w:p>
        </w:tc>
        <w:tc>
          <w:tcPr>
            <w:tcW w:w="3755" w:type="dxa"/>
            <w:shd w:val="clear" w:color="auto" w:fill="1F4E79"/>
            <w:vAlign w:val="top"/>
          </w:tcPr>
          <w:p>
            <w:pPr>
              <w:spacing w:before="213" w:line="209" w:lineRule="auto"/>
              <w:ind w:left="1442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color w:val="FFFFFF"/>
                <w:spacing w:val="-1"/>
                <w:sz w:val="22"/>
                <w:szCs w:val="22"/>
                <w14:textOutline w14:w="4005" w14:cap="flat" w14:cmpd="sng">
                  <w14:solidFill>
                    <w14:srgbClr w14:val="FFFFFF"/>
                  </w14:solidFill>
                  <w14:prstDash w14:val="solid"/>
                  <w14:miter w14:val="0"/>
                </w14:textOutline>
              </w:rPr>
              <w:t>课程名</w:t>
            </w:r>
            <w:r>
              <w:rPr>
                <w:rFonts w:hint="default" w:ascii="Times New Roman" w:hAnsi="Times New Roman" w:eastAsia="华文楷体" w:cs="Times New Roman"/>
                <w:color w:val="FFFFFF"/>
                <w:sz w:val="22"/>
                <w:szCs w:val="22"/>
                <w14:textOutline w14:w="4005" w14:cap="flat" w14:cmpd="sng">
                  <w14:solidFill>
                    <w14:srgbClr w14:val="FFFFFF"/>
                  </w14:solidFill>
                  <w14:prstDash w14:val="solid"/>
                  <w14:miter w14:val="0"/>
                </w14:textOutline>
              </w:rPr>
              <w:t>称</w:t>
            </w:r>
          </w:p>
        </w:tc>
        <w:tc>
          <w:tcPr>
            <w:tcW w:w="727" w:type="dxa"/>
            <w:shd w:val="clear" w:color="auto" w:fill="1F4E79"/>
            <w:vAlign w:val="top"/>
          </w:tcPr>
          <w:p>
            <w:pPr>
              <w:spacing w:before="214" w:line="209" w:lineRule="auto"/>
              <w:ind w:left="151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color w:val="FFFFFF"/>
                <w:spacing w:val="-3"/>
                <w:sz w:val="22"/>
                <w:szCs w:val="22"/>
                <w14:textOutline w14:w="4005" w14:cap="flat" w14:cmpd="sng">
                  <w14:solidFill>
                    <w14:srgbClr w14:val="FFFFFF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rFonts w:hint="default" w:ascii="Times New Roman" w:hAnsi="Times New Roman" w:eastAsia="华文楷体" w:cs="Times New Roman"/>
                <w:color w:val="FFFFFF"/>
                <w:spacing w:val="-2"/>
                <w:sz w:val="22"/>
                <w:szCs w:val="22"/>
                <w14:textOutline w14:w="4005" w14:cap="flat" w14:cmpd="sng">
                  <w14:solidFill>
                    <w14:srgbClr w14:val="FFFFFF"/>
                  </w14:solidFill>
                  <w14:prstDash w14:val="solid"/>
                  <w14:miter w14:val="0"/>
                </w14:textOutline>
              </w:rPr>
              <w:t>时</w:t>
            </w:r>
          </w:p>
        </w:tc>
        <w:tc>
          <w:tcPr>
            <w:tcW w:w="667" w:type="dxa"/>
            <w:shd w:val="clear" w:color="auto" w:fill="1F4E79"/>
            <w:vAlign w:val="top"/>
          </w:tcPr>
          <w:p>
            <w:pPr>
              <w:spacing w:before="54" w:line="223" w:lineRule="auto"/>
              <w:ind w:left="121" w:right="107" w:hanging="4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color w:val="FFFFFF"/>
                <w:spacing w:val="-2"/>
                <w:sz w:val="22"/>
                <w:szCs w:val="22"/>
                <w14:textOutline w14:w="4005" w14:cap="flat" w14:cmpd="sng">
                  <w14:solidFill>
                    <w14:srgbClr w14:val="FFFFFF"/>
                  </w14:solidFill>
                  <w14:prstDash w14:val="solid"/>
                  <w14:miter w14:val="0"/>
                </w14:textOutline>
              </w:rPr>
              <w:t>建议</w:t>
            </w:r>
            <w:r>
              <w:rPr>
                <w:rFonts w:hint="default" w:ascii="Times New Roman" w:hAnsi="Times New Roman" w:eastAsia="华文楷体" w:cs="Times New Roman"/>
                <w:color w:val="FFFFFF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color w:val="FFFFFF"/>
                <w:spacing w:val="-5"/>
                <w:sz w:val="22"/>
                <w:szCs w:val="22"/>
                <w14:textOutline w14:w="4005" w14:cap="flat" w14:cmpd="sng">
                  <w14:solidFill>
                    <w14:srgbClr w14:val="FFFFFF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rFonts w:hint="default" w:ascii="Times New Roman" w:hAnsi="Times New Roman" w:eastAsia="华文楷体" w:cs="Times New Roman"/>
                <w:color w:val="FFFFFF"/>
                <w:spacing w:val="-4"/>
                <w:sz w:val="22"/>
                <w:szCs w:val="22"/>
                <w14:textOutline w14:w="4005" w14:cap="flat" w14:cmpd="sng">
                  <w14:solidFill>
                    <w14:srgbClr w14:val="FFFFFF"/>
                  </w14:solidFill>
                  <w14:prstDash w14:val="solid"/>
                  <w14:miter w14:val="0"/>
                </w14:textOutline>
              </w:rPr>
              <w:t>分</w:t>
            </w:r>
          </w:p>
        </w:tc>
        <w:tc>
          <w:tcPr>
            <w:tcW w:w="693" w:type="dxa"/>
            <w:shd w:val="clear" w:color="auto" w:fill="1F4E79"/>
            <w:vAlign w:val="top"/>
          </w:tcPr>
          <w:p>
            <w:pPr>
              <w:spacing w:before="214" w:line="209" w:lineRule="auto"/>
              <w:ind w:left="128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color w:val="FFFFFF"/>
                <w:spacing w:val="-2"/>
                <w:sz w:val="22"/>
                <w:szCs w:val="22"/>
                <w14:textOutline w14:w="4005" w14:cap="flat" w14:cmpd="sng">
                  <w14:solidFill>
                    <w14:srgbClr w14:val="FFFFFF"/>
                  </w14:solidFill>
                  <w14:prstDash w14:val="solid"/>
                  <w14:miter w14:val="0"/>
                </w14:textOutline>
              </w:rPr>
              <w:t>备</w:t>
            </w:r>
            <w:r>
              <w:rPr>
                <w:rFonts w:hint="default" w:ascii="Times New Roman" w:hAnsi="Times New Roman" w:eastAsia="华文楷体" w:cs="Times New Roman"/>
                <w:color w:val="FFFFFF"/>
                <w:spacing w:val="-1"/>
                <w:sz w:val="22"/>
                <w:szCs w:val="22"/>
                <w14:textOutline w14:w="4005" w14:cap="flat" w14:cmpd="sng">
                  <w14:solidFill>
                    <w14:srgbClr w14:val="FFFFFF"/>
                  </w14:solidFill>
                  <w14:prstDash w14:val="solid"/>
                  <w14:miter w14:val="0"/>
                </w14:textOutline>
              </w:rPr>
              <w:t>注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single" w:color="808080" w:sz="2" w:space="0"/>
            <w:insideV w:val="single" w:color="80808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68" w:type="dxa"/>
            <w:vMerge w:val="restart"/>
            <w:tcBorders>
              <w:bottom w:val="nil"/>
            </w:tcBorders>
            <w:vAlign w:val="top"/>
          </w:tcPr>
          <w:p>
            <w:pPr>
              <w:tabs>
                <w:tab w:val="left" w:pos="587"/>
              </w:tabs>
              <w:spacing w:before="219" w:line="241" w:lineRule="auto"/>
              <w:ind w:left="477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b/>
                <w:bCs/>
                <w:sz w:val="22"/>
                <w:szCs w:val="22"/>
              </w:rPr>
              <w:tab/>
            </w:r>
            <w:r>
              <w:rPr>
                <w:rFonts w:hint="default" w:ascii="Times New Roman" w:hAnsi="Times New Roman" w:eastAsia="华文楷体" w:cs="Times New Roman"/>
                <w:spacing w:val="1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hint="default" w:ascii="Times New Roman" w:hAnsi="Times New Roman" w:eastAsia="华文楷体" w:cs="Times New Roman"/>
                <w:spacing w:val="11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一)</w:t>
            </w:r>
          </w:p>
          <w:p>
            <w:pPr>
              <w:spacing w:line="207" w:lineRule="auto"/>
              <w:ind w:left="364" w:leftChars="0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pacing w:val="-4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当代中国</w:t>
            </w:r>
          </w:p>
        </w:tc>
        <w:tc>
          <w:tcPr>
            <w:tcW w:w="1274" w:type="dxa"/>
            <w:vAlign w:val="top"/>
          </w:tcPr>
          <w:p>
            <w:pPr>
              <w:spacing w:before="85" w:line="175" w:lineRule="auto"/>
              <w:ind w:left="230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华文楷体" w:cs="Times New Roman"/>
                <w:sz w:val="22"/>
                <w:szCs w:val="22"/>
                <w:lang w:eastAsia="zh-CN"/>
              </w:rPr>
              <w:t>GCD</w:t>
            </w:r>
            <w:r>
              <w:rPr>
                <w:rFonts w:hint="default" w:ascii="Times New Roman" w:hAnsi="Times New Roman" w:eastAsia="华文楷体" w:cs="Times New Roman"/>
                <w:spacing w:val="-1"/>
                <w:sz w:val="22"/>
                <w:szCs w:val="22"/>
              </w:rPr>
              <w:t>-101</w:t>
            </w:r>
          </w:p>
        </w:tc>
        <w:tc>
          <w:tcPr>
            <w:tcW w:w="3755" w:type="dxa"/>
            <w:vAlign w:val="top"/>
          </w:tcPr>
          <w:p>
            <w:pPr>
              <w:spacing w:before="48" w:line="207" w:lineRule="auto"/>
              <w:ind w:left="579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pacing w:val="-2"/>
                <w:sz w:val="22"/>
                <w:szCs w:val="22"/>
              </w:rPr>
              <w:t>中国特色大国外交专题研</w:t>
            </w:r>
            <w:r>
              <w:rPr>
                <w:rFonts w:hint="default" w:ascii="Times New Roman" w:hAnsi="Times New Roman" w:eastAsia="华文楷体" w:cs="Times New Roman"/>
                <w:sz w:val="22"/>
                <w:szCs w:val="22"/>
              </w:rPr>
              <w:t>究</w:t>
            </w:r>
          </w:p>
        </w:tc>
        <w:tc>
          <w:tcPr>
            <w:tcW w:w="727" w:type="dxa"/>
            <w:vAlign w:val="top"/>
          </w:tcPr>
          <w:p>
            <w:pPr>
              <w:spacing w:before="84" w:line="176" w:lineRule="auto"/>
              <w:ind w:left="275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pacing w:val="-5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华文楷体" w:cs="Times New Roman"/>
                <w:spacing w:val="-4"/>
                <w:sz w:val="22"/>
                <w:szCs w:val="22"/>
              </w:rPr>
              <w:t>6</w:t>
            </w:r>
          </w:p>
        </w:tc>
        <w:tc>
          <w:tcPr>
            <w:tcW w:w="667" w:type="dxa"/>
            <w:vAlign w:val="top"/>
          </w:tcPr>
          <w:p>
            <w:pPr>
              <w:spacing w:before="85" w:line="175" w:lineRule="auto"/>
              <w:ind w:left="299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z w:val="22"/>
                <w:szCs w:val="22"/>
              </w:rPr>
              <w:t>1</w:t>
            </w:r>
          </w:p>
        </w:tc>
        <w:tc>
          <w:tcPr>
            <w:tcW w:w="693" w:type="dxa"/>
            <w:vAlign w:val="top"/>
          </w:tcPr>
          <w:p>
            <w:pPr>
              <w:jc w:val="both"/>
              <w:rPr>
                <w:rFonts w:hint="default" w:ascii="Times New Roman" w:hAnsi="Times New Roman" w:eastAsia="华文楷体" w:cs="Times New Roman"/>
                <w:sz w:val="21"/>
              </w:rPr>
            </w:pP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single" w:color="808080" w:sz="2" w:space="0"/>
            <w:insideV w:val="single" w:color="80808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spacing w:before="86" w:line="175" w:lineRule="auto"/>
              <w:ind w:left="230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华文楷体" w:cs="Times New Roman"/>
                <w:sz w:val="22"/>
                <w:szCs w:val="22"/>
                <w:lang w:eastAsia="zh-CN"/>
              </w:rPr>
              <w:t>GCD</w:t>
            </w:r>
            <w:r>
              <w:rPr>
                <w:rFonts w:hint="default" w:ascii="Times New Roman" w:hAnsi="Times New Roman" w:eastAsia="华文楷体" w:cs="Times New Roman"/>
                <w:spacing w:val="-1"/>
                <w:sz w:val="22"/>
                <w:szCs w:val="22"/>
              </w:rPr>
              <w:t>-102</w:t>
            </w:r>
          </w:p>
        </w:tc>
        <w:tc>
          <w:tcPr>
            <w:tcW w:w="3755" w:type="dxa"/>
            <w:vAlign w:val="top"/>
          </w:tcPr>
          <w:p>
            <w:pPr>
              <w:spacing w:before="49" w:line="206" w:lineRule="auto"/>
              <w:ind w:left="890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pacing w:val="-1"/>
                <w:sz w:val="22"/>
                <w:szCs w:val="22"/>
              </w:rPr>
              <w:t>全球治</w:t>
            </w:r>
            <w:r>
              <w:rPr>
                <w:rFonts w:hint="default" w:ascii="Times New Roman" w:hAnsi="Times New Roman" w:eastAsia="华文楷体" w:cs="Times New Roman"/>
                <w:sz w:val="22"/>
                <w:szCs w:val="22"/>
              </w:rPr>
              <w:t>理的中国方案</w:t>
            </w:r>
          </w:p>
        </w:tc>
        <w:tc>
          <w:tcPr>
            <w:tcW w:w="727" w:type="dxa"/>
            <w:vAlign w:val="top"/>
          </w:tcPr>
          <w:p>
            <w:pPr>
              <w:spacing w:before="84" w:line="176" w:lineRule="auto"/>
              <w:ind w:left="275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pacing w:val="-5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华文楷体" w:cs="Times New Roman"/>
                <w:spacing w:val="-4"/>
                <w:sz w:val="22"/>
                <w:szCs w:val="22"/>
              </w:rPr>
              <w:t>6</w:t>
            </w:r>
          </w:p>
        </w:tc>
        <w:tc>
          <w:tcPr>
            <w:tcW w:w="667" w:type="dxa"/>
            <w:vAlign w:val="top"/>
          </w:tcPr>
          <w:p>
            <w:pPr>
              <w:spacing w:before="86" w:line="175" w:lineRule="auto"/>
              <w:ind w:left="299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z w:val="22"/>
                <w:szCs w:val="22"/>
              </w:rPr>
              <w:t>1</w:t>
            </w:r>
          </w:p>
        </w:tc>
        <w:tc>
          <w:tcPr>
            <w:tcW w:w="693" w:type="dxa"/>
            <w:vAlign w:val="top"/>
          </w:tcPr>
          <w:p>
            <w:pPr>
              <w:jc w:val="both"/>
              <w:rPr>
                <w:rFonts w:hint="default" w:ascii="Times New Roman" w:hAnsi="Times New Roman" w:eastAsia="华文楷体" w:cs="Times New Roman"/>
                <w:sz w:val="21"/>
              </w:rPr>
            </w:pP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single" w:color="808080" w:sz="2" w:space="0"/>
            <w:insideV w:val="single" w:color="80808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568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spacing w:before="86" w:line="175" w:lineRule="auto"/>
              <w:ind w:left="230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华文楷体" w:cs="Times New Roman"/>
                <w:sz w:val="22"/>
                <w:szCs w:val="22"/>
                <w:lang w:eastAsia="zh-CN"/>
              </w:rPr>
              <w:t>GCD</w:t>
            </w:r>
            <w:r>
              <w:rPr>
                <w:rFonts w:hint="default" w:ascii="Times New Roman" w:hAnsi="Times New Roman" w:eastAsia="华文楷体" w:cs="Times New Roman"/>
                <w:spacing w:val="-1"/>
                <w:sz w:val="22"/>
                <w:szCs w:val="22"/>
              </w:rPr>
              <w:t>-103</w:t>
            </w:r>
          </w:p>
        </w:tc>
        <w:tc>
          <w:tcPr>
            <w:tcW w:w="3755" w:type="dxa"/>
            <w:vAlign w:val="top"/>
          </w:tcPr>
          <w:p>
            <w:pPr>
              <w:spacing w:before="49" w:line="205" w:lineRule="auto"/>
              <w:ind w:left="893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pacing w:val="-1"/>
                <w:sz w:val="22"/>
                <w:szCs w:val="22"/>
              </w:rPr>
              <w:t>一带一路与全</w:t>
            </w:r>
            <w:r>
              <w:rPr>
                <w:rFonts w:hint="default" w:ascii="Times New Roman" w:hAnsi="Times New Roman" w:eastAsia="华文楷体" w:cs="Times New Roman"/>
                <w:sz w:val="22"/>
                <w:szCs w:val="22"/>
              </w:rPr>
              <w:t>球发展</w:t>
            </w:r>
          </w:p>
        </w:tc>
        <w:tc>
          <w:tcPr>
            <w:tcW w:w="727" w:type="dxa"/>
            <w:vAlign w:val="top"/>
          </w:tcPr>
          <w:p>
            <w:pPr>
              <w:spacing w:before="85" w:line="176" w:lineRule="auto"/>
              <w:ind w:left="275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pacing w:val="-5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华文楷体" w:cs="Times New Roman"/>
                <w:spacing w:val="-4"/>
                <w:sz w:val="22"/>
                <w:szCs w:val="22"/>
              </w:rPr>
              <w:t>6</w:t>
            </w:r>
          </w:p>
        </w:tc>
        <w:tc>
          <w:tcPr>
            <w:tcW w:w="667" w:type="dxa"/>
            <w:vAlign w:val="top"/>
          </w:tcPr>
          <w:p>
            <w:pPr>
              <w:spacing w:before="86" w:line="175" w:lineRule="auto"/>
              <w:ind w:left="299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z w:val="22"/>
                <w:szCs w:val="22"/>
              </w:rPr>
              <w:t>1</w:t>
            </w:r>
          </w:p>
        </w:tc>
        <w:tc>
          <w:tcPr>
            <w:tcW w:w="693" w:type="dxa"/>
            <w:vAlign w:val="top"/>
          </w:tcPr>
          <w:p>
            <w:pPr>
              <w:jc w:val="both"/>
              <w:rPr>
                <w:rFonts w:hint="default" w:ascii="Times New Roman" w:hAnsi="Times New Roman" w:eastAsia="华文楷体" w:cs="Times New Roman"/>
                <w:sz w:val="21"/>
              </w:rPr>
            </w:pP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single" w:color="808080" w:sz="2" w:space="0"/>
            <w:insideV w:val="single" w:color="80808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68" w:type="dxa"/>
            <w:vMerge w:val="restart"/>
            <w:tcBorders>
              <w:bottom w:val="nil"/>
            </w:tcBorders>
            <w:shd w:val="clear" w:color="auto" w:fill="F5F5F5"/>
            <w:vAlign w:val="top"/>
          </w:tcPr>
          <w:p>
            <w:pPr>
              <w:tabs>
                <w:tab w:val="left" w:pos="587"/>
              </w:tabs>
              <w:spacing w:before="220" w:line="241" w:lineRule="auto"/>
              <w:ind w:left="477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b/>
                <w:bCs/>
                <w:sz w:val="22"/>
                <w:szCs w:val="22"/>
              </w:rPr>
              <w:tab/>
            </w:r>
            <w:r>
              <w:rPr>
                <w:rFonts w:hint="default" w:ascii="Times New Roman" w:hAnsi="Times New Roman" w:eastAsia="华文楷体" w:cs="Times New Roman"/>
                <w:spacing w:val="1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hint="default" w:ascii="Times New Roman" w:hAnsi="Times New Roman" w:eastAsia="华文楷体" w:cs="Times New Roman"/>
                <w:spacing w:val="11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二)</w:t>
            </w:r>
          </w:p>
          <w:p>
            <w:pPr>
              <w:spacing w:before="1" w:line="209" w:lineRule="auto"/>
              <w:ind w:left="368" w:leftChars="0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pacing w:val="-7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国</w:t>
            </w:r>
            <w:r>
              <w:rPr>
                <w:rFonts w:hint="default" w:ascii="Times New Roman" w:hAnsi="Times New Roman" w:eastAsia="华文楷体" w:cs="Times New Roman"/>
                <w:spacing w:val="-4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际理解</w:t>
            </w:r>
          </w:p>
        </w:tc>
        <w:tc>
          <w:tcPr>
            <w:tcW w:w="1274" w:type="dxa"/>
            <w:shd w:val="clear" w:color="auto" w:fill="F5F5F5"/>
            <w:vAlign w:val="top"/>
          </w:tcPr>
          <w:p>
            <w:pPr>
              <w:spacing w:before="87" w:line="175" w:lineRule="auto"/>
              <w:ind w:left="230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华文楷体" w:cs="Times New Roman"/>
                <w:spacing w:val="-1"/>
                <w:sz w:val="22"/>
                <w:szCs w:val="22"/>
                <w:lang w:eastAsia="zh-CN"/>
              </w:rPr>
              <w:t>GCD</w:t>
            </w:r>
            <w:r>
              <w:rPr>
                <w:rFonts w:hint="default" w:ascii="Times New Roman" w:hAnsi="Times New Roman" w:eastAsia="华文楷体" w:cs="Times New Roman"/>
                <w:spacing w:val="-2"/>
                <w:sz w:val="22"/>
                <w:szCs w:val="22"/>
              </w:rPr>
              <w:t>-20</w:t>
            </w:r>
            <w:r>
              <w:rPr>
                <w:rFonts w:hint="default" w:ascii="Times New Roman" w:hAnsi="Times New Roman" w:eastAsia="华文楷体" w:cs="Times New Roman"/>
                <w:spacing w:val="-1"/>
                <w:sz w:val="22"/>
                <w:szCs w:val="22"/>
              </w:rPr>
              <w:t>1</w:t>
            </w:r>
          </w:p>
        </w:tc>
        <w:tc>
          <w:tcPr>
            <w:tcW w:w="3755" w:type="dxa"/>
            <w:shd w:val="clear" w:color="auto" w:fill="F5F5F5"/>
            <w:vAlign w:val="top"/>
          </w:tcPr>
          <w:p>
            <w:pPr>
              <w:spacing w:before="51" w:line="206" w:lineRule="auto"/>
              <w:ind w:left="913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pacing w:val="-4"/>
                <w:sz w:val="22"/>
                <w:szCs w:val="22"/>
              </w:rPr>
              <w:t>国际组</w:t>
            </w:r>
            <w:r>
              <w:rPr>
                <w:rFonts w:hint="default" w:ascii="Times New Roman" w:hAnsi="Times New Roman" w:eastAsia="华文楷体" w:cs="Times New Roman"/>
                <w:spacing w:val="-3"/>
                <w:sz w:val="22"/>
                <w:szCs w:val="22"/>
              </w:rPr>
              <w:t>织</w:t>
            </w:r>
            <w:r>
              <w:rPr>
                <w:rFonts w:hint="default" w:ascii="Times New Roman" w:hAnsi="Times New Roman" w:eastAsia="华文楷体" w:cs="Times New Roman"/>
                <w:spacing w:val="-2"/>
                <w:sz w:val="22"/>
                <w:szCs w:val="22"/>
              </w:rPr>
              <w:t>与全球治理</w:t>
            </w:r>
          </w:p>
        </w:tc>
        <w:tc>
          <w:tcPr>
            <w:tcW w:w="727" w:type="dxa"/>
            <w:shd w:val="clear" w:color="auto" w:fill="F5F5F5"/>
            <w:vAlign w:val="top"/>
          </w:tcPr>
          <w:p>
            <w:pPr>
              <w:spacing w:before="86" w:line="176" w:lineRule="auto"/>
              <w:ind w:left="275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pacing w:val="-5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华文楷体" w:cs="Times New Roman"/>
                <w:spacing w:val="-4"/>
                <w:sz w:val="22"/>
                <w:szCs w:val="22"/>
              </w:rPr>
              <w:t>6</w:t>
            </w:r>
          </w:p>
        </w:tc>
        <w:tc>
          <w:tcPr>
            <w:tcW w:w="667" w:type="dxa"/>
            <w:shd w:val="clear" w:color="auto" w:fill="F5F5F5"/>
            <w:vAlign w:val="top"/>
          </w:tcPr>
          <w:p>
            <w:pPr>
              <w:spacing w:before="87" w:line="175" w:lineRule="auto"/>
              <w:ind w:left="299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z w:val="22"/>
                <w:szCs w:val="22"/>
              </w:rPr>
              <w:t>1</w:t>
            </w:r>
          </w:p>
        </w:tc>
        <w:tc>
          <w:tcPr>
            <w:tcW w:w="693" w:type="dxa"/>
            <w:shd w:val="clear" w:color="auto" w:fill="F5F5F5"/>
            <w:vAlign w:val="top"/>
          </w:tcPr>
          <w:p>
            <w:pPr>
              <w:jc w:val="both"/>
              <w:rPr>
                <w:rFonts w:hint="default" w:ascii="Times New Roman" w:hAnsi="Times New Roman" w:eastAsia="华文楷体" w:cs="Times New Roman"/>
                <w:sz w:val="21"/>
              </w:rPr>
            </w:pP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single" w:color="808080" w:sz="2" w:space="0"/>
            <w:insideV w:val="single" w:color="80808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5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sz w:val="21"/>
              </w:rPr>
            </w:pPr>
          </w:p>
        </w:tc>
        <w:tc>
          <w:tcPr>
            <w:tcW w:w="1274" w:type="dxa"/>
            <w:shd w:val="clear" w:color="auto" w:fill="F5F5F5"/>
            <w:vAlign w:val="top"/>
          </w:tcPr>
          <w:p>
            <w:pPr>
              <w:spacing w:before="87" w:line="175" w:lineRule="auto"/>
              <w:ind w:left="230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华文楷体" w:cs="Times New Roman"/>
                <w:spacing w:val="-1"/>
                <w:sz w:val="22"/>
                <w:szCs w:val="22"/>
                <w:lang w:eastAsia="zh-CN"/>
              </w:rPr>
              <w:t>GCD</w:t>
            </w:r>
            <w:r>
              <w:rPr>
                <w:rFonts w:hint="default" w:ascii="Times New Roman" w:hAnsi="Times New Roman" w:eastAsia="华文楷体" w:cs="Times New Roman"/>
                <w:spacing w:val="-2"/>
                <w:sz w:val="22"/>
                <w:szCs w:val="22"/>
              </w:rPr>
              <w:t>-20</w:t>
            </w:r>
            <w:r>
              <w:rPr>
                <w:rFonts w:hint="default" w:ascii="Times New Roman" w:hAnsi="Times New Roman" w:eastAsia="华文楷体" w:cs="Times New Roman"/>
                <w:spacing w:val="-1"/>
                <w:sz w:val="22"/>
                <w:szCs w:val="22"/>
              </w:rPr>
              <w:t>2</w:t>
            </w:r>
          </w:p>
        </w:tc>
        <w:tc>
          <w:tcPr>
            <w:tcW w:w="3755" w:type="dxa"/>
            <w:shd w:val="clear" w:color="auto" w:fill="F5F5F5"/>
            <w:vAlign w:val="top"/>
          </w:tcPr>
          <w:p>
            <w:pPr>
              <w:spacing w:before="50" w:line="205" w:lineRule="auto"/>
              <w:ind w:left="673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pacing w:val="-1"/>
                <w:sz w:val="22"/>
                <w:szCs w:val="22"/>
              </w:rPr>
              <w:t>未来科技</w:t>
            </w:r>
            <w:r>
              <w:rPr>
                <w:rFonts w:hint="default" w:ascii="Times New Roman" w:hAnsi="Times New Roman" w:eastAsia="华文楷体" w:cs="Times New Roman"/>
                <w:sz w:val="22"/>
                <w:szCs w:val="22"/>
              </w:rPr>
              <w:t>发展与创新创业</w:t>
            </w:r>
          </w:p>
        </w:tc>
        <w:tc>
          <w:tcPr>
            <w:tcW w:w="727" w:type="dxa"/>
            <w:shd w:val="clear" w:color="auto" w:fill="F5F5F5"/>
            <w:vAlign w:val="top"/>
          </w:tcPr>
          <w:p>
            <w:pPr>
              <w:spacing w:before="86" w:line="176" w:lineRule="auto"/>
              <w:ind w:left="275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pacing w:val="-5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华文楷体" w:cs="Times New Roman"/>
                <w:spacing w:val="-4"/>
                <w:sz w:val="22"/>
                <w:szCs w:val="22"/>
              </w:rPr>
              <w:t>6</w:t>
            </w:r>
          </w:p>
        </w:tc>
        <w:tc>
          <w:tcPr>
            <w:tcW w:w="667" w:type="dxa"/>
            <w:shd w:val="clear" w:color="auto" w:fill="F5F5F5"/>
            <w:vAlign w:val="top"/>
          </w:tcPr>
          <w:p>
            <w:pPr>
              <w:spacing w:before="87" w:line="175" w:lineRule="auto"/>
              <w:ind w:left="299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z w:val="22"/>
                <w:szCs w:val="22"/>
              </w:rPr>
              <w:t>1</w:t>
            </w:r>
          </w:p>
        </w:tc>
        <w:tc>
          <w:tcPr>
            <w:tcW w:w="693" w:type="dxa"/>
            <w:shd w:val="clear" w:color="auto" w:fill="F5F5F5"/>
            <w:vAlign w:val="top"/>
          </w:tcPr>
          <w:p>
            <w:pPr>
              <w:jc w:val="both"/>
              <w:rPr>
                <w:rFonts w:hint="default" w:ascii="Times New Roman" w:hAnsi="Times New Roman" w:eastAsia="华文楷体" w:cs="Times New Roman"/>
                <w:sz w:val="21"/>
              </w:rPr>
            </w:pP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single" w:color="808080" w:sz="2" w:space="0"/>
            <w:insideV w:val="single" w:color="80808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68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sz w:val="21"/>
              </w:rPr>
            </w:pPr>
          </w:p>
        </w:tc>
        <w:tc>
          <w:tcPr>
            <w:tcW w:w="1274" w:type="dxa"/>
            <w:shd w:val="clear" w:color="auto" w:fill="F5F5F5"/>
            <w:vAlign w:val="top"/>
          </w:tcPr>
          <w:p>
            <w:pPr>
              <w:spacing w:before="89" w:line="175" w:lineRule="auto"/>
              <w:ind w:left="230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华文楷体" w:cs="Times New Roman"/>
                <w:spacing w:val="-1"/>
                <w:sz w:val="22"/>
                <w:szCs w:val="22"/>
                <w:lang w:eastAsia="zh-CN"/>
              </w:rPr>
              <w:t>GCD</w:t>
            </w:r>
            <w:r>
              <w:rPr>
                <w:rFonts w:hint="default" w:ascii="Times New Roman" w:hAnsi="Times New Roman" w:eastAsia="华文楷体" w:cs="Times New Roman"/>
                <w:spacing w:val="-2"/>
                <w:sz w:val="22"/>
                <w:szCs w:val="22"/>
              </w:rPr>
              <w:t>-20</w:t>
            </w:r>
            <w:r>
              <w:rPr>
                <w:rFonts w:hint="default" w:ascii="Times New Roman" w:hAnsi="Times New Roman" w:eastAsia="华文楷体" w:cs="Times New Roman"/>
                <w:spacing w:val="-1"/>
                <w:sz w:val="22"/>
                <w:szCs w:val="22"/>
              </w:rPr>
              <w:t>3</w:t>
            </w:r>
          </w:p>
        </w:tc>
        <w:tc>
          <w:tcPr>
            <w:tcW w:w="3755" w:type="dxa"/>
            <w:shd w:val="clear" w:color="auto" w:fill="F5F5F5"/>
            <w:vAlign w:val="top"/>
          </w:tcPr>
          <w:p>
            <w:pPr>
              <w:spacing w:before="52" w:line="205" w:lineRule="auto"/>
              <w:ind w:left="782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pacing w:val="-1"/>
                <w:sz w:val="22"/>
                <w:szCs w:val="22"/>
              </w:rPr>
              <w:t>气候变化与</w:t>
            </w:r>
            <w:r>
              <w:rPr>
                <w:rFonts w:hint="default" w:ascii="Times New Roman" w:hAnsi="Times New Roman" w:eastAsia="华文楷体" w:cs="Times New Roman"/>
                <w:sz w:val="22"/>
                <w:szCs w:val="22"/>
              </w:rPr>
              <w:t>可持续发展</w:t>
            </w:r>
          </w:p>
        </w:tc>
        <w:tc>
          <w:tcPr>
            <w:tcW w:w="727" w:type="dxa"/>
            <w:shd w:val="clear" w:color="auto" w:fill="F5F5F5"/>
            <w:vAlign w:val="top"/>
          </w:tcPr>
          <w:p>
            <w:pPr>
              <w:spacing w:before="88" w:line="176" w:lineRule="auto"/>
              <w:ind w:left="275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pacing w:val="-5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华文楷体" w:cs="Times New Roman"/>
                <w:spacing w:val="-4"/>
                <w:sz w:val="22"/>
                <w:szCs w:val="22"/>
              </w:rPr>
              <w:t>6</w:t>
            </w:r>
          </w:p>
        </w:tc>
        <w:tc>
          <w:tcPr>
            <w:tcW w:w="667" w:type="dxa"/>
            <w:shd w:val="clear" w:color="auto" w:fill="F5F5F5"/>
            <w:vAlign w:val="top"/>
          </w:tcPr>
          <w:p>
            <w:pPr>
              <w:spacing w:before="89" w:line="175" w:lineRule="auto"/>
              <w:ind w:left="299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z w:val="22"/>
                <w:szCs w:val="22"/>
              </w:rPr>
              <w:t>1</w:t>
            </w:r>
          </w:p>
        </w:tc>
        <w:tc>
          <w:tcPr>
            <w:tcW w:w="693" w:type="dxa"/>
            <w:shd w:val="clear" w:color="auto" w:fill="F5F5F5"/>
            <w:vAlign w:val="top"/>
          </w:tcPr>
          <w:p>
            <w:pPr>
              <w:jc w:val="both"/>
              <w:rPr>
                <w:rFonts w:hint="default" w:ascii="Times New Roman" w:hAnsi="Times New Roman" w:eastAsia="华文楷体" w:cs="Times New Roman"/>
                <w:sz w:val="21"/>
              </w:rPr>
            </w:pP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single" w:color="808080" w:sz="2" w:space="0"/>
            <w:insideV w:val="single" w:color="80808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68" w:type="dxa"/>
            <w:vMerge w:val="restart"/>
            <w:tcBorders>
              <w:bottom w:val="nil"/>
            </w:tcBorders>
            <w:vAlign w:val="top"/>
          </w:tcPr>
          <w:p>
            <w:pPr>
              <w:tabs>
                <w:tab w:val="left" w:pos="587"/>
              </w:tabs>
              <w:spacing w:before="221" w:line="258" w:lineRule="auto"/>
              <w:ind w:left="235" w:leftChars="0" w:right="228" w:rightChars="0" w:firstLine="242" w:firstLineChars="0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b/>
                <w:bCs/>
                <w:sz w:val="22"/>
                <w:szCs w:val="22"/>
              </w:rPr>
              <w:tab/>
            </w:r>
            <w:r>
              <w:rPr>
                <w:rFonts w:hint="default" w:ascii="Times New Roman" w:hAnsi="Times New Roman" w:eastAsia="华文楷体" w:cs="Times New Roman"/>
                <w:spacing w:val="1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hint="default" w:ascii="Times New Roman" w:hAnsi="Times New Roman" w:eastAsia="华文楷体" w:cs="Times New Roman"/>
                <w:spacing w:val="11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三)</w:t>
            </w:r>
            <w:r>
              <w:rPr>
                <w:rFonts w:hint="default" w:ascii="Times New Roman" w:hAnsi="Times New Roman" w:eastAsia="华文楷体" w:cs="Times New Roman"/>
                <w:sz w:val="22"/>
                <w:szCs w:val="22"/>
              </w:rPr>
              <w:t xml:space="preserve">      </w:t>
            </w:r>
            <w:r>
              <w:rPr>
                <w:rFonts w:hint="default" w:ascii="Times New Roman" w:hAnsi="Times New Roman" w:eastAsia="华文楷体" w:cs="Times New Roman"/>
                <w:spacing w:val="-1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跨文</w:t>
            </w:r>
            <w:r>
              <w:rPr>
                <w:rFonts w:hint="default" w:ascii="Times New Roman" w:hAnsi="Times New Roman" w:eastAsia="华文楷体" w:cs="Times New Roman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化沟通</w:t>
            </w:r>
          </w:p>
        </w:tc>
        <w:tc>
          <w:tcPr>
            <w:tcW w:w="1274" w:type="dxa"/>
            <w:vAlign w:val="top"/>
          </w:tcPr>
          <w:p>
            <w:pPr>
              <w:spacing w:before="87" w:line="175" w:lineRule="auto"/>
              <w:ind w:left="230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华文楷体" w:cs="Times New Roman"/>
                <w:spacing w:val="-1"/>
                <w:sz w:val="22"/>
                <w:szCs w:val="22"/>
                <w:lang w:eastAsia="zh-CN"/>
              </w:rPr>
              <w:t>GCD</w:t>
            </w:r>
            <w:r>
              <w:rPr>
                <w:rFonts w:hint="default" w:ascii="Times New Roman" w:hAnsi="Times New Roman" w:eastAsia="华文楷体" w:cs="Times New Roman"/>
                <w:spacing w:val="-1"/>
                <w:sz w:val="22"/>
                <w:szCs w:val="22"/>
              </w:rPr>
              <w:t>-301</w:t>
            </w:r>
          </w:p>
        </w:tc>
        <w:tc>
          <w:tcPr>
            <w:tcW w:w="3755" w:type="dxa"/>
            <w:vAlign w:val="top"/>
          </w:tcPr>
          <w:p>
            <w:pPr>
              <w:spacing w:before="51" w:line="206" w:lineRule="auto"/>
              <w:ind w:left="1001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pacing w:val="-1"/>
                <w:sz w:val="22"/>
                <w:szCs w:val="22"/>
              </w:rPr>
              <w:t>跨文化</w:t>
            </w:r>
            <w:r>
              <w:rPr>
                <w:rFonts w:hint="default" w:ascii="Times New Roman" w:hAnsi="Times New Roman" w:eastAsia="华文楷体" w:cs="Times New Roman"/>
                <w:sz w:val="22"/>
                <w:szCs w:val="22"/>
              </w:rPr>
              <w:t>沟通与交流</w:t>
            </w:r>
          </w:p>
        </w:tc>
        <w:tc>
          <w:tcPr>
            <w:tcW w:w="727" w:type="dxa"/>
            <w:vAlign w:val="top"/>
          </w:tcPr>
          <w:p>
            <w:pPr>
              <w:spacing w:before="86" w:line="176" w:lineRule="auto"/>
              <w:ind w:left="275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pacing w:val="-5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华文楷体" w:cs="Times New Roman"/>
                <w:spacing w:val="-4"/>
                <w:sz w:val="22"/>
                <w:szCs w:val="22"/>
              </w:rPr>
              <w:t>6</w:t>
            </w:r>
          </w:p>
        </w:tc>
        <w:tc>
          <w:tcPr>
            <w:tcW w:w="667" w:type="dxa"/>
            <w:vAlign w:val="top"/>
          </w:tcPr>
          <w:p>
            <w:pPr>
              <w:spacing w:before="87" w:line="175" w:lineRule="auto"/>
              <w:ind w:left="299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z w:val="22"/>
                <w:szCs w:val="22"/>
              </w:rPr>
              <w:t>1</w:t>
            </w:r>
          </w:p>
        </w:tc>
        <w:tc>
          <w:tcPr>
            <w:tcW w:w="693" w:type="dxa"/>
            <w:vAlign w:val="top"/>
          </w:tcPr>
          <w:p>
            <w:pPr>
              <w:jc w:val="both"/>
              <w:rPr>
                <w:rFonts w:hint="default" w:ascii="Times New Roman" w:hAnsi="Times New Roman" w:eastAsia="华文楷体" w:cs="Times New Roman"/>
                <w:sz w:val="21"/>
              </w:rPr>
            </w:pP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single" w:color="808080" w:sz="2" w:space="0"/>
            <w:insideV w:val="single" w:color="80808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5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spacing w:before="87" w:line="175" w:lineRule="auto"/>
              <w:ind w:left="230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华文楷体" w:cs="Times New Roman"/>
                <w:spacing w:val="-1"/>
                <w:sz w:val="22"/>
                <w:szCs w:val="22"/>
                <w:lang w:eastAsia="zh-CN"/>
              </w:rPr>
              <w:t>GCD</w:t>
            </w:r>
            <w:r>
              <w:rPr>
                <w:rFonts w:hint="default" w:ascii="Times New Roman" w:hAnsi="Times New Roman" w:eastAsia="华文楷体" w:cs="Times New Roman"/>
                <w:spacing w:val="-1"/>
                <w:sz w:val="22"/>
                <w:szCs w:val="22"/>
              </w:rPr>
              <w:t>-302</w:t>
            </w:r>
          </w:p>
        </w:tc>
        <w:tc>
          <w:tcPr>
            <w:tcW w:w="3755" w:type="dxa"/>
            <w:vAlign w:val="top"/>
          </w:tcPr>
          <w:p>
            <w:pPr>
              <w:spacing w:before="50" w:line="204" w:lineRule="auto"/>
              <w:ind w:left="1114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pacing w:val="-1"/>
                <w:sz w:val="22"/>
                <w:szCs w:val="22"/>
              </w:rPr>
              <w:t>英语演讲与</w:t>
            </w:r>
            <w:r>
              <w:rPr>
                <w:rFonts w:hint="default" w:ascii="Times New Roman" w:hAnsi="Times New Roman" w:eastAsia="华文楷体" w:cs="Times New Roman"/>
                <w:sz w:val="22"/>
                <w:szCs w:val="22"/>
              </w:rPr>
              <w:t>辩论</w:t>
            </w:r>
          </w:p>
        </w:tc>
        <w:tc>
          <w:tcPr>
            <w:tcW w:w="727" w:type="dxa"/>
            <w:vAlign w:val="top"/>
          </w:tcPr>
          <w:p>
            <w:pPr>
              <w:spacing w:before="86" w:line="176" w:lineRule="auto"/>
              <w:ind w:left="275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pacing w:val="-5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华文楷体" w:cs="Times New Roman"/>
                <w:spacing w:val="-4"/>
                <w:sz w:val="22"/>
                <w:szCs w:val="22"/>
              </w:rPr>
              <w:t>6</w:t>
            </w:r>
          </w:p>
        </w:tc>
        <w:tc>
          <w:tcPr>
            <w:tcW w:w="667" w:type="dxa"/>
            <w:vAlign w:val="top"/>
          </w:tcPr>
          <w:p>
            <w:pPr>
              <w:spacing w:before="87" w:line="175" w:lineRule="auto"/>
              <w:ind w:left="299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z w:val="22"/>
                <w:szCs w:val="22"/>
              </w:rPr>
              <w:t>1</w:t>
            </w:r>
          </w:p>
        </w:tc>
        <w:tc>
          <w:tcPr>
            <w:tcW w:w="693" w:type="dxa"/>
            <w:vAlign w:val="top"/>
          </w:tcPr>
          <w:p>
            <w:pPr>
              <w:jc w:val="both"/>
              <w:rPr>
                <w:rFonts w:hint="default" w:ascii="Times New Roman" w:hAnsi="Times New Roman" w:eastAsia="华文楷体" w:cs="Times New Roman"/>
                <w:sz w:val="21"/>
              </w:rPr>
            </w:pP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single" w:color="808080" w:sz="2" w:space="0"/>
            <w:insideV w:val="single" w:color="80808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68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spacing w:before="91" w:line="175" w:lineRule="auto"/>
              <w:ind w:left="230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华文楷体" w:cs="Times New Roman"/>
                <w:spacing w:val="-1"/>
                <w:sz w:val="22"/>
                <w:szCs w:val="22"/>
                <w:lang w:eastAsia="zh-CN"/>
              </w:rPr>
              <w:t>GCD</w:t>
            </w:r>
            <w:r>
              <w:rPr>
                <w:rFonts w:hint="default" w:ascii="Times New Roman" w:hAnsi="Times New Roman" w:eastAsia="华文楷体" w:cs="Times New Roman"/>
                <w:spacing w:val="-1"/>
                <w:sz w:val="22"/>
                <w:szCs w:val="22"/>
              </w:rPr>
              <w:t>-303</w:t>
            </w:r>
          </w:p>
        </w:tc>
        <w:tc>
          <w:tcPr>
            <w:tcW w:w="3755" w:type="dxa"/>
            <w:vAlign w:val="top"/>
          </w:tcPr>
          <w:p>
            <w:pPr>
              <w:spacing w:before="53" w:line="204" w:lineRule="auto"/>
              <w:ind w:left="1244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pacing w:val="-5"/>
                <w:sz w:val="22"/>
                <w:szCs w:val="22"/>
              </w:rPr>
              <w:t>国</w:t>
            </w:r>
            <w:r>
              <w:rPr>
                <w:rFonts w:hint="default" w:ascii="Times New Roman" w:hAnsi="Times New Roman" w:eastAsia="华文楷体" w:cs="Times New Roman"/>
                <w:spacing w:val="-4"/>
                <w:sz w:val="22"/>
                <w:szCs w:val="22"/>
              </w:rPr>
              <w:t>际公文写作</w:t>
            </w:r>
          </w:p>
        </w:tc>
        <w:tc>
          <w:tcPr>
            <w:tcW w:w="727" w:type="dxa"/>
            <w:vAlign w:val="top"/>
          </w:tcPr>
          <w:p>
            <w:pPr>
              <w:spacing w:before="89" w:line="176" w:lineRule="auto"/>
              <w:ind w:left="275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pacing w:val="-5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华文楷体" w:cs="Times New Roman"/>
                <w:spacing w:val="-4"/>
                <w:sz w:val="22"/>
                <w:szCs w:val="22"/>
              </w:rPr>
              <w:t>6</w:t>
            </w:r>
          </w:p>
        </w:tc>
        <w:tc>
          <w:tcPr>
            <w:tcW w:w="667" w:type="dxa"/>
            <w:vAlign w:val="top"/>
          </w:tcPr>
          <w:p>
            <w:pPr>
              <w:spacing w:before="91" w:line="175" w:lineRule="auto"/>
              <w:ind w:left="299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z w:val="22"/>
                <w:szCs w:val="22"/>
              </w:rPr>
              <w:t>1</w:t>
            </w:r>
          </w:p>
        </w:tc>
        <w:tc>
          <w:tcPr>
            <w:tcW w:w="693" w:type="dxa"/>
            <w:vAlign w:val="top"/>
          </w:tcPr>
          <w:p>
            <w:pPr>
              <w:jc w:val="both"/>
              <w:rPr>
                <w:rFonts w:hint="default" w:ascii="Times New Roman" w:hAnsi="Times New Roman" w:eastAsia="华文楷体" w:cs="Times New Roman"/>
                <w:sz w:val="21"/>
              </w:rPr>
            </w:pP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single" w:color="808080" w:sz="2" w:space="0"/>
            <w:insideV w:val="single" w:color="80808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568" w:type="dxa"/>
            <w:vMerge w:val="restart"/>
            <w:tcBorders>
              <w:bottom w:val="nil"/>
            </w:tcBorders>
            <w:shd w:val="clear" w:color="auto" w:fill="F5F5F5"/>
            <w:vAlign w:val="top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sz w:val="21"/>
              </w:rPr>
            </w:pPr>
          </w:p>
          <w:p>
            <w:pPr>
              <w:jc w:val="center"/>
              <w:rPr>
                <w:rFonts w:hint="default" w:ascii="Times New Roman" w:hAnsi="Times New Roman" w:eastAsia="华文楷体" w:cs="Times New Roman"/>
                <w:sz w:val="21"/>
              </w:rPr>
            </w:pPr>
          </w:p>
          <w:p>
            <w:pPr>
              <w:jc w:val="center"/>
              <w:rPr>
                <w:rFonts w:hint="default" w:ascii="Times New Roman" w:hAnsi="Times New Roman" w:eastAsia="华文楷体" w:cs="Times New Roman"/>
                <w:sz w:val="21"/>
              </w:rPr>
            </w:pPr>
          </w:p>
          <w:p>
            <w:pPr>
              <w:jc w:val="center"/>
              <w:rPr>
                <w:rFonts w:hint="default" w:ascii="Times New Roman" w:hAnsi="Times New Roman" w:eastAsia="华文楷体" w:cs="Times New Roman"/>
                <w:sz w:val="21"/>
              </w:rPr>
            </w:pPr>
          </w:p>
          <w:p>
            <w:pPr>
              <w:jc w:val="center"/>
              <w:rPr>
                <w:rFonts w:hint="default" w:ascii="Times New Roman" w:hAnsi="Times New Roman" w:eastAsia="华文楷体" w:cs="Times New Roman"/>
                <w:sz w:val="21"/>
              </w:rPr>
            </w:pPr>
          </w:p>
          <w:p>
            <w:pPr>
              <w:spacing w:line="241" w:lineRule="auto"/>
              <w:jc w:val="center"/>
              <w:rPr>
                <w:rFonts w:hint="default" w:ascii="Times New Roman" w:hAnsi="Times New Roman" w:eastAsia="华文楷体" w:cs="Times New Roman"/>
                <w:sz w:val="21"/>
              </w:rPr>
            </w:pPr>
          </w:p>
          <w:p>
            <w:pPr>
              <w:spacing w:line="241" w:lineRule="auto"/>
              <w:jc w:val="center"/>
              <w:rPr>
                <w:rFonts w:hint="default" w:ascii="Times New Roman" w:hAnsi="Times New Roman" w:eastAsia="华文楷体" w:cs="Times New Roman"/>
                <w:sz w:val="21"/>
              </w:rPr>
            </w:pPr>
          </w:p>
          <w:p>
            <w:pPr>
              <w:spacing w:line="241" w:lineRule="auto"/>
              <w:jc w:val="center"/>
              <w:rPr>
                <w:rFonts w:hint="default" w:ascii="Times New Roman" w:hAnsi="Times New Roman" w:eastAsia="华文楷体" w:cs="Times New Roman"/>
                <w:sz w:val="21"/>
              </w:rPr>
            </w:pPr>
          </w:p>
          <w:p>
            <w:pPr>
              <w:tabs>
                <w:tab w:val="left" w:pos="271"/>
              </w:tabs>
              <w:spacing w:before="80" w:line="252" w:lineRule="auto"/>
              <w:ind w:right="166"/>
              <w:jc w:val="center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pacing w:val="-3"/>
                <w:sz w:val="22"/>
                <w:szCs w:val="22"/>
                <w:lang w:val="en-US" w:eastAsia="zh-CN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  </w:t>
            </w:r>
            <w:r>
              <w:rPr>
                <w:rFonts w:hint="default" w:ascii="Times New Roman" w:hAnsi="Times New Roman" w:eastAsia="华文楷体" w:cs="Times New Roman"/>
                <w:spacing w:val="-3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讲</w:t>
            </w:r>
            <w:r>
              <w:rPr>
                <w:rFonts w:hint="default" w:ascii="Times New Roman" w:hAnsi="Times New Roman" w:eastAsia="华文楷体" w:cs="Times New Roman"/>
                <w:spacing w:val="-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座</w:t>
            </w:r>
            <w:r>
              <w:rPr>
                <w:rFonts w:hint="default" w:ascii="Times New Roman" w:hAnsi="Times New Roman" w:eastAsia="华文楷体" w:cs="Times New Roman"/>
                <w:sz w:val="22"/>
                <w:szCs w:val="22"/>
              </w:rPr>
              <w:t xml:space="preserve"> </w:t>
            </w:r>
          </w:p>
          <w:p>
            <w:pPr>
              <w:tabs>
                <w:tab w:val="left" w:pos="271"/>
              </w:tabs>
              <w:spacing w:before="80" w:line="252" w:lineRule="auto"/>
              <w:ind w:right="166"/>
              <w:jc w:val="center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pacing w:val="6"/>
                <w:sz w:val="22"/>
                <w:szCs w:val="22"/>
                <w:lang w:val="en-US" w:eastAsia="zh-CN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   </w:t>
            </w:r>
            <w:r>
              <w:rPr>
                <w:rFonts w:hint="default" w:ascii="Times New Roman" w:hAnsi="Times New Roman" w:eastAsia="华文楷体" w:cs="Times New Roman"/>
                <w:spacing w:val="6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hint="default" w:ascii="Times New Roman" w:hAnsi="Times New Roman" w:eastAsia="华文楷体" w:cs="Times New Roman"/>
                <w:spacing w:val="4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2022学年)</w:t>
            </w:r>
          </w:p>
        </w:tc>
        <w:tc>
          <w:tcPr>
            <w:tcW w:w="1274" w:type="dxa"/>
            <w:shd w:val="clear" w:color="auto" w:fill="F5F5F5"/>
            <w:vAlign w:val="top"/>
          </w:tcPr>
          <w:p>
            <w:pPr>
              <w:spacing w:before="249" w:line="175" w:lineRule="auto"/>
              <w:ind w:left="115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华文楷体" w:cs="Times New Roman"/>
                <w:spacing w:val="-1"/>
                <w:sz w:val="22"/>
                <w:szCs w:val="22"/>
                <w:lang w:eastAsia="zh-CN"/>
              </w:rPr>
              <w:t>GCD</w:t>
            </w:r>
            <w:r>
              <w:rPr>
                <w:rFonts w:hint="default" w:ascii="Times New Roman" w:hAnsi="Times New Roman" w:eastAsia="华文楷体" w:cs="Times New Roman"/>
                <w:spacing w:val="-1"/>
                <w:sz w:val="22"/>
                <w:szCs w:val="22"/>
              </w:rPr>
              <w:t>-L2201</w:t>
            </w:r>
          </w:p>
        </w:tc>
        <w:tc>
          <w:tcPr>
            <w:tcW w:w="3755" w:type="dxa"/>
            <w:shd w:val="clear" w:color="auto" w:fill="F5F5F5"/>
            <w:vAlign w:val="top"/>
          </w:tcPr>
          <w:p>
            <w:pPr>
              <w:spacing w:before="52" w:line="222" w:lineRule="auto"/>
              <w:ind w:left="1129" w:right="222" w:hanging="895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pacing w:val="-1"/>
                <w:sz w:val="22"/>
                <w:szCs w:val="22"/>
              </w:rPr>
              <w:t>青年在全球可持</w:t>
            </w:r>
            <w:r>
              <w:rPr>
                <w:rFonts w:hint="default" w:ascii="Times New Roman" w:hAnsi="Times New Roman" w:eastAsia="华文楷体" w:cs="Times New Roman"/>
                <w:sz w:val="22"/>
                <w:szCs w:val="22"/>
              </w:rPr>
              <w:t xml:space="preserve">续发展和南南合作 </w:t>
            </w:r>
            <w:r>
              <w:rPr>
                <w:rFonts w:hint="default" w:ascii="Times New Roman" w:hAnsi="Times New Roman" w:eastAsia="华文楷体" w:cs="Times New Roman"/>
                <w:spacing w:val="-3"/>
                <w:sz w:val="22"/>
                <w:szCs w:val="22"/>
              </w:rPr>
              <w:t>中的机遇和贡献</w:t>
            </w:r>
          </w:p>
        </w:tc>
        <w:tc>
          <w:tcPr>
            <w:tcW w:w="727" w:type="dxa"/>
            <w:shd w:val="clear" w:color="auto" w:fill="F5F5F5"/>
            <w:vAlign w:val="top"/>
          </w:tcPr>
          <w:p>
            <w:pPr>
              <w:spacing w:before="249" w:line="175" w:lineRule="auto"/>
              <w:ind w:left="241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pacing w:val="-6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华文楷体" w:cs="Times New Roman"/>
                <w:spacing w:val="-5"/>
                <w:sz w:val="22"/>
                <w:szCs w:val="22"/>
              </w:rPr>
              <w:t>-2</w:t>
            </w:r>
          </w:p>
        </w:tc>
        <w:tc>
          <w:tcPr>
            <w:tcW w:w="667" w:type="dxa"/>
            <w:shd w:val="clear" w:color="auto" w:fill="F5F5F5"/>
            <w:vAlign w:val="top"/>
          </w:tcPr>
          <w:p>
            <w:pPr>
              <w:jc w:val="both"/>
              <w:rPr>
                <w:rFonts w:hint="default" w:ascii="Times New Roman" w:hAnsi="Times New Roman" w:eastAsia="华文楷体" w:cs="Times New Roman"/>
                <w:sz w:val="21"/>
              </w:rPr>
            </w:pPr>
          </w:p>
        </w:tc>
        <w:tc>
          <w:tcPr>
            <w:tcW w:w="693" w:type="dxa"/>
            <w:vMerge w:val="restart"/>
            <w:tcBorders>
              <w:bottom w:val="nil"/>
            </w:tcBorders>
            <w:shd w:val="clear" w:color="auto" w:fill="F5F5F5"/>
            <w:vAlign w:val="top"/>
          </w:tcPr>
          <w:p>
            <w:pPr>
              <w:spacing w:line="311" w:lineRule="auto"/>
              <w:jc w:val="both"/>
              <w:rPr>
                <w:rFonts w:hint="default" w:ascii="Times New Roman" w:hAnsi="Times New Roman" w:eastAsia="华文楷体" w:cs="Times New Roman"/>
                <w:sz w:val="21"/>
              </w:rPr>
            </w:pPr>
          </w:p>
          <w:p>
            <w:pPr>
              <w:spacing w:line="311" w:lineRule="auto"/>
              <w:jc w:val="both"/>
              <w:rPr>
                <w:rFonts w:hint="default" w:ascii="Times New Roman" w:hAnsi="Times New Roman" w:eastAsia="华文楷体" w:cs="Times New Roman"/>
                <w:sz w:val="21"/>
              </w:rPr>
            </w:pPr>
          </w:p>
          <w:p>
            <w:pPr>
              <w:spacing w:before="80" w:line="258" w:lineRule="auto"/>
              <w:ind w:left="134" w:right="121" w:hanging="2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pacing w:val="-4"/>
                <w:sz w:val="22"/>
                <w:szCs w:val="22"/>
              </w:rPr>
              <w:t>春</w:t>
            </w:r>
            <w:r>
              <w:rPr>
                <w:rFonts w:hint="default" w:ascii="Times New Roman" w:hAnsi="Times New Roman" w:eastAsia="华文楷体" w:cs="Times New Roman"/>
                <w:spacing w:val="-3"/>
                <w:sz w:val="22"/>
                <w:szCs w:val="22"/>
              </w:rPr>
              <w:t>季</w:t>
            </w:r>
            <w:r>
              <w:rPr>
                <w:rFonts w:hint="default" w:ascii="Times New Roman" w:hAnsi="Times New Roman" w:eastAsia="华文楷体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spacing w:val="-5"/>
                <w:sz w:val="22"/>
                <w:szCs w:val="22"/>
              </w:rPr>
              <w:t>学</w:t>
            </w:r>
            <w:r>
              <w:rPr>
                <w:rFonts w:hint="default" w:ascii="Times New Roman" w:hAnsi="Times New Roman" w:eastAsia="华文楷体" w:cs="Times New Roman"/>
                <w:spacing w:val="-4"/>
                <w:sz w:val="22"/>
                <w:szCs w:val="22"/>
              </w:rPr>
              <w:t>期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single" w:color="808080" w:sz="2" w:space="0"/>
            <w:insideV w:val="single" w:color="80808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华文楷体" w:cs="Times New Roman"/>
                <w:sz w:val="21"/>
              </w:rPr>
            </w:pPr>
          </w:p>
        </w:tc>
        <w:tc>
          <w:tcPr>
            <w:tcW w:w="1274" w:type="dxa"/>
            <w:shd w:val="clear" w:color="auto" w:fill="F5F5F5"/>
            <w:vAlign w:val="top"/>
          </w:tcPr>
          <w:p>
            <w:pPr>
              <w:spacing w:before="89" w:line="175" w:lineRule="auto"/>
              <w:ind w:left="115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华文楷体" w:cs="Times New Roman"/>
                <w:spacing w:val="-1"/>
                <w:sz w:val="22"/>
                <w:szCs w:val="22"/>
                <w:lang w:eastAsia="zh-CN"/>
              </w:rPr>
              <w:t>GCD</w:t>
            </w:r>
            <w:r>
              <w:rPr>
                <w:rFonts w:hint="default" w:ascii="Times New Roman" w:hAnsi="Times New Roman" w:eastAsia="华文楷体" w:cs="Times New Roman"/>
                <w:spacing w:val="-1"/>
                <w:sz w:val="22"/>
                <w:szCs w:val="22"/>
              </w:rPr>
              <w:t>-L2202</w:t>
            </w:r>
          </w:p>
        </w:tc>
        <w:tc>
          <w:tcPr>
            <w:tcW w:w="3755" w:type="dxa"/>
            <w:shd w:val="clear" w:color="auto" w:fill="F5F5F5"/>
            <w:vAlign w:val="top"/>
          </w:tcPr>
          <w:p>
            <w:pPr>
              <w:spacing w:before="52" w:line="205" w:lineRule="auto"/>
              <w:ind w:left="636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pacing w:val="-1"/>
                <w:sz w:val="22"/>
                <w:szCs w:val="22"/>
              </w:rPr>
              <w:t>Inte</w:t>
            </w:r>
            <w:r>
              <w:rPr>
                <w:rFonts w:hint="default" w:ascii="Times New Roman" w:hAnsi="Times New Roman" w:eastAsia="华文楷体" w:cs="Times New Roman"/>
                <w:sz w:val="22"/>
                <w:szCs w:val="22"/>
              </w:rPr>
              <w:t>rcultural</w:t>
            </w:r>
            <w:r>
              <w:rPr>
                <w:rFonts w:hint="default" w:ascii="Times New Roman" w:hAnsi="Times New Roman" w:eastAsia="华文楷体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sz w:val="22"/>
                <w:szCs w:val="22"/>
              </w:rPr>
              <w:t>Communication</w:t>
            </w:r>
          </w:p>
        </w:tc>
        <w:tc>
          <w:tcPr>
            <w:tcW w:w="727" w:type="dxa"/>
            <w:shd w:val="clear" w:color="auto" w:fill="F5F5F5"/>
            <w:vAlign w:val="top"/>
          </w:tcPr>
          <w:p>
            <w:pPr>
              <w:spacing w:before="89" w:line="175" w:lineRule="auto"/>
              <w:ind w:left="241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pacing w:val="-6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华文楷体" w:cs="Times New Roman"/>
                <w:spacing w:val="-5"/>
                <w:sz w:val="22"/>
                <w:szCs w:val="22"/>
              </w:rPr>
              <w:t>-2</w:t>
            </w:r>
          </w:p>
        </w:tc>
        <w:tc>
          <w:tcPr>
            <w:tcW w:w="667" w:type="dxa"/>
            <w:shd w:val="clear" w:color="auto" w:fill="F5F5F5"/>
            <w:vAlign w:val="top"/>
          </w:tcPr>
          <w:p>
            <w:pPr>
              <w:jc w:val="both"/>
              <w:rPr>
                <w:rFonts w:hint="default" w:ascii="Times New Roman" w:hAnsi="Times New Roman" w:eastAsia="华文楷体" w:cs="Times New Roman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华文楷体" w:cs="Times New Roman"/>
                <w:sz w:val="21"/>
              </w:rPr>
            </w:pP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single" w:color="808080" w:sz="2" w:space="0"/>
            <w:insideV w:val="single" w:color="80808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5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华文楷体" w:cs="Times New Roman"/>
                <w:sz w:val="21"/>
              </w:rPr>
            </w:pPr>
          </w:p>
        </w:tc>
        <w:tc>
          <w:tcPr>
            <w:tcW w:w="1274" w:type="dxa"/>
            <w:shd w:val="clear" w:color="auto" w:fill="F5F5F5"/>
            <w:vAlign w:val="top"/>
          </w:tcPr>
          <w:p>
            <w:pPr>
              <w:spacing w:before="250" w:line="175" w:lineRule="auto"/>
              <w:ind w:left="115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华文楷体" w:cs="Times New Roman"/>
                <w:spacing w:val="-1"/>
                <w:sz w:val="22"/>
                <w:szCs w:val="22"/>
                <w:lang w:eastAsia="zh-CN"/>
              </w:rPr>
              <w:t>GCD</w:t>
            </w:r>
            <w:r>
              <w:rPr>
                <w:rFonts w:hint="default" w:ascii="Times New Roman" w:hAnsi="Times New Roman" w:eastAsia="华文楷体" w:cs="Times New Roman"/>
                <w:spacing w:val="-1"/>
                <w:sz w:val="22"/>
                <w:szCs w:val="22"/>
              </w:rPr>
              <w:t>-L2203</w:t>
            </w:r>
          </w:p>
        </w:tc>
        <w:tc>
          <w:tcPr>
            <w:tcW w:w="3755" w:type="dxa"/>
            <w:shd w:val="clear" w:color="auto" w:fill="F5F5F5"/>
            <w:vAlign w:val="top"/>
          </w:tcPr>
          <w:p>
            <w:pPr>
              <w:spacing w:before="52" w:line="222" w:lineRule="auto"/>
              <w:ind w:left="1111" w:right="332" w:hanging="767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pacing w:val="-1"/>
                <w:sz w:val="22"/>
                <w:szCs w:val="22"/>
              </w:rPr>
              <w:t>百年未有之大变</w:t>
            </w:r>
            <w:r>
              <w:rPr>
                <w:rFonts w:hint="default" w:ascii="Times New Roman" w:hAnsi="Times New Roman" w:eastAsia="华文楷体" w:cs="Times New Roman"/>
                <w:sz w:val="22"/>
                <w:szCs w:val="22"/>
              </w:rPr>
              <w:t xml:space="preserve">局下全球治理与 </w:t>
            </w:r>
            <w:r>
              <w:rPr>
                <w:rFonts w:hint="default" w:ascii="Times New Roman" w:hAnsi="Times New Roman" w:eastAsia="华文楷体" w:cs="Times New Roman"/>
                <w:spacing w:val="-1"/>
                <w:sz w:val="22"/>
                <w:szCs w:val="22"/>
              </w:rPr>
              <w:t>全球</w:t>
            </w:r>
            <w:r>
              <w:rPr>
                <w:rFonts w:hint="default" w:ascii="Times New Roman" w:hAnsi="Times New Roman" w:eastAsia="华文楷体" w:cs="Times New Roman"/>
                <w:sz w:val="22"/>
                <w:szCs w:val="22"/>
              </w:rPr>
              <w:t>胜任力培养</w:t>
            </w:r>
          </w:p>
        </w:tc>
        <w:tc>
          <w:tcPr>
            <w:tcW w:w="727" w:type="dxa"/>
            <w:shd w:val="clear" w:color="auto" w:fill="F5F5F5"/>
            <w:vAlign w:val="top"/>
          </w:tcPr>
          <w:p>
            <w:pPr>
              <w:spacing w:before="250" w:line="175" w:lineRule="auto"/>
              <w:ind w:left="241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pacing w:val="-6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华文楷体" w:cs="Times New Roman"/>
                <w:spacing w:val="-5"/>
                <w:sz w:val="22"/>
                <w:szCs w:val="22"/>
              </w:rPr>
              <w:t>-2</w:t>
            </w:r>
          </w:p>
        </w:tc>
        <w:tc>
          <w:tcPr>
            <w:tcW w:w="667" w:type="dxa"/>
            <w:shd w:val="clear" w:color="auto" w:fill="F5F5F5"/>
            <w:vAlign w:val="top"/>
          </w:tcPr>
          <w:p>
            <w:pPr>
              <w:jc w:val="both"/>
              <w:rPr>
                <w:rFonts w:hint="default" w:ascii="Times New Roman" w:hAnsi="Times New Roman" w:eastAsia="华文楷体" w:cs="Times New Roman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华文楷体" w:cs="Times New Roman"/>
                <w:sz w:val="21"/>
              </w:rPr>
            </w:pP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single" w:color="808080" w:sz="2" w:space="0"/>
            <w:insideV w:val="single" w:color="80808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5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华文楷体" w:cs="Times New Roman"/>
                <w:sz w:val="21"/>
              </w:rPr>
            </w:pPr>
          </w:p>
        </w:tc>
        <w:tc>
          <w:tcPr>
            <w:tcW w:w="1274" w:type="dxa"/>
            <w:shd w:val="clear" w:color="auto" w:fill="F5F5F5"/>
            <w:vAlign w:val="top"/>
          </w:tcPr>
          <w:p>
            <w:pPr>
              <w:spacing w:before="89" w:line="175" w:lineRule="auto"/>
              <w:ind w:left="115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华文楷体" w:cs="Times New Roman"/>
                <w:spacing w:val="-1"/>
                <w:sz w:val="22"/>
                <w:szCs w:val="22"/>
                <w:lang w:eastAsia="zh-CN"/>
              </w:rPr>
              <w:t>GCD</w:t>
            </w:r>
            <w:r>
              <w:rPr>
                <w:rFonts w:hint="default" w:ascii="Times New Roman" w:hAnsi="Times New Roman" w:eastAsia="华文楷体" w:cs="Times New Roman"/>
                <w:spacing w:val="-1"/>
                <w:sz w:val="22"/>
                <w:szCs w:val="22"/>
              </w:rPr>
              <w:t>-L2204</w:t>
            </w:r>
          </w:p>
        </w:tc>
        <w:tc>
          <w:tcPr>
            <w:tcW w:w="3755" w:type="dxa"/>
            <w:shd w:val="clear" w:color="auto" w:fill="F5F5F5"/>
            <w:vAlign w:val="top"/>
          </w:tcPr>
          <w:p>
            <w:pPr>
              <w:spacing w:before="53" w:line="203" w:lineRule="auto"/>
              <w:ind w:left="253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pacing w:val="-2"/>
                <w:sz w:val="22"/>
                <w:szCs w:val="22"/>
              </w:rPr>
              <w:t>国际谈判中跨文化问题与</w:t>
            </w:r>
            <w:r>
              <w:rPr>
                <w:rFonts w:hint="default" w:ascii="Times New Roman" w:hAnsi="Times New Roman" w:eastAsia="华文楷体" w:cs="Times New Roman"/>
                <w:spacing w:val="-1"/>
                <w:sz w:val="22"/>
                <w:szCs w:val="22"/>
              </w:rPr>
              <w:t>沟通技巧</w:t>
            </w:r>
          </w:p>
        </w:tc>
        <w:tc>
          <w:tcPr>
            <w:tcW w:w="727" w:type="dxa"/>
            <w:shd w:val="clear" w:color="auto" w:fill="F5F5F5"/>
            <w:vAlign w:val="top"/>
          </w:tcPr>
          <w:p>
            <w:pPr>
              <w:spacing w:before="89" w:line="175" w:lineRule="auto"/>
              <w:ind w:left="241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pacing w:val="-6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华文楷体" w:cs="Times New Roman"/>
                <w:spacing w:val="-5"/>
                <w:sz w:val="22"/>
                <w:szCs w:val="22"/>
              </w:rPr>
              <w:t>-2</w:t>
            </w:r>
          </w:p>
        </w:tc>
        <w:tc>
          <w:tcPr>
            <w:tcW w:w="667" w:type="dxa"/>
            <w:shd w:val="clear" w:color="auto" w:fill="F5F5F5"/>
            <w:vAlign w:val="top"/>
          </w:tcPr>
          <w:p>
            <w:pPr>
              <w:jc w:val="both"/>
              <w:rPr>
                <w:rFonts w:hint="default" w:ascii="Times New Roman" w:hAnsi="Times New Roman" w:eastAsia="华文楷体" w:cs="Times New Roman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华文楷体" w:cs="Times New Roman"/>
                <w:sz w:val="21"/>
              </w:rPr>
            </w:pP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single" w:color="808080" w:sz="2" w:space="0"/>
            <w:insideV w:val="single" w:color="80808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15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华文楷体" w:cs="Times New Roman"/>
                <w:sz w:val="21"/>
              </w:rPr>
            </w:pPr>
          </w:p>
        </w:tc>
        <w:tc>
          <w:tcPr>
            <w:tcW w:w="1274" w:type="dxa"/>
            <w:shd w:val="clear" w:color="auto" w:fill="F5F5F5"/>
            <w:vAlign w:val="top"/>
          </w:tcPr>
          <w:p>
            <w:pPr>
              <w:spacing w:line="243" w:lineRule="auto"/>
              <w:jc w:val="both"/>
              <w:rPr>
                <w:rFonts w:hint="default" w:ascii="Times New Roman" w:hAnsi="Times New Roman" w:eastAsia="华文楷体" w:cs="Times New Roman"/>
                <w:sz w:val="21"/>
              </w:rPr>
            </w:pPr>
          </w:p>
          <w:p>
            <w:pPr>
              <w:spacing w:line="244" w:lineRule="auto"/>
              <w:jc w:val="both"/>
              <w:rPr>
                <w:rFonts w:hint="default" w:ascii="Times New Roman" w:hAnsi="Times New Roman" w:eastAsia="华文楷体" w:cs="Times New Roman"/>
                <w:sz w:val="21"/>
              </w:rPr>
            </w:pPr>
          </w:p>
          <w:p>
            <w:pPr>
              <w:spacing w:before="80" w:line="177" w:lineRule="auto"/>
              <w:ind w:left="115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华文楷体" w:cs="Times New Roman"/>
                <w:spacing w:val="-1"/>
                <w:sz w:val="22"/>
                <w:szCs w:val="22"/>
                <w:lang w:eastAsia="zh-CN"/>
              </w:rPr>
              <w:t>GCD</w:t>
            </w:r>
            <w:r>
              <w:rPr>
                <w:rFonts w:hint="default" w:ascii="Times New Roman" w:hAnsi="Times New Roman" w:eastAsia="华文楷体" w:cs="Times New Roman"/>
                <w:spacing w:val="-1"/>
                <w:sz w:val="22"/>
                <w:szCs w:val="22"/>
              </w:rPr>
              <w:t>-L2205</w:t>
            </w:r>
          </w:p>
        </w:tc>
        <w:tc>
          <w:tcPr>
            <w:tcW w:w="3755" w:type="dxa"/>
            <w:shd w:val="clear" w:color="auto" w:fill="F5F5F5"/>
            <w:vAlign w:val="top"/>
          </w:tcPr>
          <w:p>
            <w:pPr>
              <w:spacing w:before="56" w:line="232" w:lineRule="auto"/>
              <w:ind w:left="250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z w:val="22"/>
                <w:szCs w:val="22"/>
              </w:rPr>
              <w:t>The</w:t>
            </w:r>
            <w:r>
              <w:rPr>
                <w:rFonts w:hint="default" w:ascii="Times New Roman" w:hAnsi="Times New Roman" w:eastAsia="华文楷体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sz w:val="22"/>
                <w:szCs w:val="22"/>
              </w:rPr>
              <w:t>whole</w:t>
            </w:r>
            <w:r>
              <w:rPr>
                <w:rFonts w:hint="default" w:ascii="Times New Roman" w:hAnsi="Times New Roman" w:eastAsia="华文楷体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sz w:val="22"/>
                <w:szCs w:val="22"/>
              </w:rPr>
              <w:t>is</w:t>
            </w:r>
            <w:r>
              <w:rPr>
                <w:rFonts w:hint="default" w:ascii="Times New Roman" w:hAnsi="Times New Roman" w:eastAsia="华文楷体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sz w:val="22"/>
                <w:szCs w:val="22"/>
              </w:rPr>
              <w:t>more</w:t>
            </w:r>
            <w:r>
              <w:rPr>
                <w:rFonts w:hint="default" w:ascii="Times New Roman" w:hAnsi="Times New Roman" w:eastAsia="华文楷体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sz w:val="22"/>
                <w:szCs w:val="22"/>
              </w:rPr>
              <w:t>than</w:t>
            </w:r>
            <w:r>
              <w:rPr>
                <w:rFonts w:hint="default" w:ascii="Times New Roman" w:hAnsi="Times New Roman" w:eastAsia="华文楷体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sz w:val="22"/>
                <w:szCs w:val="22"/>
              </w:rPr>
              <w:t>the sum of its</w:t>
            </w:r>
          </w:p>
          <w:p>
            <w:pPr>
              <w:spacing w:before="9" w:line="193" w:lineRule="auto"/>
              <w:ind w:left="518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z w:val="22"/>
                <w:szCs w:val="22"/>
              </w:rPr>
              <w:t>parts</w:t>
            </w:r>
            <w:r>
              <w:rPr>
                <w:rFonts w:hint="default" w:ascii="Times New Roman" w:hAnsi="Times New Roman" w:eastAsia="华文楷体" w:cs="Times New Roman"/>
                <w:spacing w:val="2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eastAsia="华文楷体" w:cs="Times New Roman"/>
                <w:sz w:val="22"/>
                <w:szCs w:val="22"/>
              </w:rPr>
              <w:t>some</w:t>
            </w:r>
            <w:r>
              <w:rPr>
                <w:rFonts w:hint="default" w:ascii="Times New Roman" w:hAnsi="Times New Roman" w:eastAsia="华文楷体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sz w:val="22"/>
                <w:szCs w:val="22"/>
              </w:rPr>
              <w:t>reflections</w:t>
            </w:r>
            <w:r>
              <w:rPr>
                <w:rFonts w:hint="default" w:ascii="Times New Roman" w:hAnsi="Times New Roman" w:eastAsia="华文楷体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sz w:val="22"/>
                <w:szCs w:val="22"/>
              </w:rPr>
              <w:t>on</w:t>
            </w:r>
            <w:r>
              <w:rPr>
                <w:rFonts w:hint="default" w:ascii="Times New Roman" w:hAnsi="Times New Roman" w:eastAsia="华文楷体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sz w:val="22"/>
                <w:szCs w:val="22"/>
              </w:rPr>
              <w:t>living</w:t>
            </w:r>
          </w:p>
          <w:p>
            <w:pPr>
              <w:spacing w:before="63" w:line="202" w:lineRule="auto"/>
              <w:ind w:left="849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z w:val="22"/>
                <w:szCs w:val="22"/>
              </w:rPr>
              <w:t>in</w:t>
            </w:r>
            <w:r>
              <w:rPr>
                <w:rFonts w:hint="default" w:ascii="Times New Roman" w:hAnsi="Times New Roman" w:eastAsia="华文楷体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sz w:val="22"/>
                <w:szCs w:val="22"/>
              </w:rPr>
              <w:t>two different cultures</w:t>
            </w:r>
          </w:p>
        </w:tc>
        <w:tc>
          <w:tcPr>
            <w:tcW w:w="727" w:type="dxa"/>
            <w:shd w:val="clear" w:color="auto" w:fill="F5F5F5"/>
            <w:vAlign w:val="top"/>
          </w:tcPr>
          <w:p>
            <w:pPr>
              <w:spacing w:line="329" w:lineRule="auto"/>
              <w:jc w:val="both"/>
              <w:rPr>
                <w:rFonts w:hint="default" w:ascii="Times New Roman" w:hAnsi="Times New Roman" w:eastAsia="华文楷体" w:cs="Times New Roman"/>
                <w:sz w:val="21"/>
              </w:rPr>
            </w:pPr>
          </w:p>
          <w:p>
            <w:pPr>
              <w:spacing w:before="80" w:line="175" w:lineRule="auto"/>
              <w:ind w:left="241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pacing w:val="-6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华文楷体" w:cs="Times New Roman"/>
                <w:spacing w:val="-5"/>
                <w:sz w:val="22"/>
                <w:szCs w:val="22"/>
              </w:rPr>
              <w:t>-2</w:t>
            </w:r>
          </w:p>
        </w:tc>
        <w:tc>
          <w:tcPr>
            <w:tcW w:w="667" w:type="dxa"/>
            <w:shd w:val="clear" w:color="auto" w:fill="F5F5F5"/>
            <w:vAlign w:val="top"/>
          </w:tcPr>
          <w:p>
            <w:pPr>
              <w:jc w:val="both"/>
              <w:rPr>
                <w:rFonts w:hint="default" w:ascii="Times New Roman" w:hAnsi="Times New Roman" w:eastAsia="华文楷体" w:cs="Times New Roman"/>
                <w:sz w:val="21"/>
              </w:rPr>
            </w:pPr>
          </w:p>
        </w:tc>
        <w:tc>
          <w:tcPr>
            <w:tcW w:w="693" w:type="dxa"/>
            <w:vMerge w:val="restart"/>
            <w:tcBorders>
              <w:bottom w:val="nil"/>
            </w:tcBorders>
            <w:shd w:val="clear" w:color="auto" w:fill="F5F5F5"/>
            <w:vAlign w:val="top"/>
          </w:tcPr>
          <w:p>
            <w:pPr>
              <w:spacing w:line="316" w:lineRule="auto"/>
              <w:jc w:val="both"/>
              <w:rPr>
                <w:rFonts w:hint="default" w:ascii="Times New Roman" w:hAnsi="Times New Roman" w:eastAsia="华文楷体" w:cs="Times New Roman"/>
                <w:sz w:val="21"/>
              </w:rPr>
            </w:pPr>
          </w:p>
          <w:p>
            <w:pPr>
              <w:spacing w:line="316" w:lineRule="auto"/>
              <w:jc w:val="both"/>
              <w:rPr>
                <w:rFonts w:hint="default" w:ascii="Times New Roman" w:hAnsi="Times New Roman" w:eastAsia="华文楷体" w:cs="Times New Roman"/>
                <w:sz w:val="21"/>
              </w:rPr>
            </w:pPr>
          </w:p>
          <w:p>
            <w:pPr>
              <w:spacing w:line="316" w:lineRule="auto"/>
              <w:jc w:val="both"/>
              <w:rPr>
                <w:rFonts w:hint="default" w:ascii="Times New Roman" w:hAnsi="Times New Roman" w:eastAsia="华文楷体" w:cs="Times New Roman"/>
                <w:sz w:val="21"/>
              </w:rPr>
            </w:pPr>
          </w:p>
          <w:p>
            <w:pPr>
              <w:spacing w:before="80" w:line="258" w:lineRule="auto"/>
              <w:ind w:left="134" w:right="121" w:hanging="4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pacing w:val="-2"/>
                <w:sz w:val="22"/>
                <w:szCs w:val="22"/>
              </w:rPr>
              <w:t>秋季</w:t>
            </w:r>
            <w:r>
              <w:rPr>
                <w:rFonts w:hint="default" w:ascii="Times New Roman" w:hAnsi="Times New Roman" w:eastAsia="华文楷体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spacing w:val="-5"/>
                <w:sz w:val="22"/>
                <w:szCs w:val="22"/>
              </w:rPr>
              <w:t>学</w:t>
            </w:r>
            <w:r>
              <w:rPr>
                <w:rFonts w:hint="default" w:ascii="Times New Roman" w:hAnsi="Times New Roman" w:eastAsia="华文楷体" w:cs="Times New Roman"/>
                <w:spacing w:val="-4"/>
                <w:sz w:val="22"/>
                <w:szCs w:val="22"/>
              </w:rPr>
              <w:t>期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single" w:color="808080" w:sz="2" w:space="0"/>
            <w:insideV w:val="single" w:color="80808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华文楷体" w:cs="Times New Roman"/>
                <w:sz w:val="21"/>
              </w:rPr>
            </w:pPr>
          </w:p>
        </w:tc>
        <w:tc>
          <w:tcPr>
            <w:tcW w:w="1274" w:type="dxa"/>
            <w:shd w:val="clear" w:color="auto" w:fill="F5F5F5"/>
            <w:vAlign w:val="top"/>
          </w:tcPr>
          <w:p>
            <w:pPr>
              <w:spacing w:before="90" w:line="176" w:lineRule="auto"/>
              <w:ind w:left="115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华文楷体" w:cs="Times New Roman"/>
                <w:spacing w:val="-1"/>
                <w:sz w:val="22"/>
                <w:szCs w:val="22"/>
                <w:lang w:eastAsia="zh-CN"/>
              </w:rPr>
              <w:t>GCD</w:t>
            </w:r>
            <w:r>
              <w:rPr>
                <w:rFonts w:hint="default" w:ascii="Times New Roman" w:hAnsi="Times New Roman" w:eastAsia="华文楷体" w:cs="Times New Roman"/>
                <w:spacing w:val="-1"/>
                <w:sz w:val="22"/>
                <w:szCs w:val="22"/>
              </w:rPr>
              <w:t>-L2206</w:t>
            </w:r>
          </w:p>
        </w:tc>
        <w:tc>
          <w:tcPr>
            <w:tcW w:w="3755" w:type="dxa"/>
            <w:shd w:val="clear" w:color="auto" w:fill="F5F5F5"/>
            <w:vAlign w:val="top"/>
          </w:tcPr>
          <w:p>
            <w:pPr>
              <w:spacing w:before="53" w:line="204" w:lineRule="auto"/>
              <w:ind w:left="674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pacing w:val="-1"/>
                <w:sz w:val="22"/>
                <w:szCs w:val="22"/>
              </w:rPr>
              <w:t>逐梦太空与</w:t>
            </w:r>
            <w:r>
              <w:rPr>
                <w:rFonts w:hint="default" w:ascii="Times New Roman" w:hAnsi="Times New Roman" w:eastAsia="华文楷体" w:cs="Times New Roman"/>
                <w:sz w:val="22"/>
                <w:szCs w:val="22"/>
              </w:rPr>
              <w:t>伟大航天精神</w:t>
            </w:r>
          </w:p>
        </w:tc>
        <w:tc>
          <w:tcPr>
            <w:tcW w:w="727" w:type="dxa"/>
            <w:shd w:val="clear" w:color="auto" w:fill="F5F5F5"/>
            <w:vAlign w:val="top"/>
          </w:tcPr>
          <w:p>
            <w:pPr>
              <w:spacing w:before="91" w:line="175" w:lineRule="auto"/>
              <w:ind w:left="241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pacing w:val="-6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华文楷体" w:cs="Times New Roman"/>
                <w:spacing w:val="-5"/>
                <w:sz w:val="22"/>
                <w:szCs w:val="22"/>
              </w:rPr>
              <w:t>-2</w:t>
            </w:r>
          </w:p>
        </w:tc>
        <w:tc>
          <w:tcPr>
            <w:tcW w:w="667" w:type="dxa"/>
            <w:shd w:val="clear" w:color="auto" w:fill="F5F5F5"/>
            <w:vAlign w:val="top"/>
          </w:tcPr>
          <w:p>
            <w:pPr>
              <w:jc w:val="both"/>
              <w:rPr>
                <w:rFonts w:hint="default" w:ascii="Times New Roman" w:hAnsi="Times New Roman" w:eastAsia="华文楷体" w:cs="Times New Roman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华文楷体" w:cs="Times New Roman"/>
                <w:sz w:val="21"/>
              </w:rPr>
            </w:pP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single" w:color="808080" w:sz="2" w:space="0"/>
            <w:insideV w:val="single" w:color="80808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5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华文楷体" w:cs="Times New Roman"/>
                <w:sz w:val="21"/>
              </w:rPr>
            </w:pPr>
          </w:p>
        </w:tc>
        <w:tc>
          <w:tcPr>
            <w:tcW w:w="1274" w:type="dxa"/>
            <w:shd w:val="clear" w:color="auto" w:fill="F5F5F5"/>
            <w:vAlign w:val="top"/>
          </w:tcPr>
          <w:p>
            <w:pPr>
              <w:spacing w:before="90" w:line="175" w:lineRule="auto"/>
              <w:ind w:left="115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华文楷体" w:cs="Times New Roman"/>
                <w:spacing w:val="-1"/>
                <w:sz w:val="22"/>
                <w:szCs w:val="22"/>
                <w:lang w:eastAsia="zh-CN"/>
              </w:rPr>
              <w:t>GCD</w:t>
            </w:r>
            <w:r>
              <w:rPr>
                <w:rFonts w:hint="default" w:ascii="Times New Roman" w:hAnsi="Times New Roman" w:eastAsia="华文楷体" w:cs="Times New Roman"/>
                <w:spacing w:val="-1"/>
                <w:sz w:val="22"/>
                <w:szCs w:val="22"/>
              </w:rPr>
              <w:t>-L2207</w:t>
            </w:r>
          </w:p>
        </w:tc>
        <w:tc>
          <w:tcPr>
            <w:tcW w:w="3755" w:type="dxa"/>
            <w:shd w:val="clear" w:color="auto" w:fill="F5F5F5"/>
            <w:vAlign w:val="top"/>
          </w:tcPr>
          <w:p>
            <w:pPr>
              <w:spacing w:before="54" w:line="202" w:lineRule="auto"/>
              <w:ind w:left="895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pacing w:val="-1"/>
                <w:sz w:val="22"/>
                <w:szCs w:val="22"/>
              </w:rPr>
              <w:t>把握数智时代的</w:t>
            </w:r>
            <w:r>
              <w:rPr>
                <w:rFonts w:hint="default" w:ascii="Times New Roman" w:hAnsi="Times New Roman" w:eastAsia="华文楷体" w:cs="Times New Roman"/>
                <w:sz w:val="22"/>
                <w:szCs w:val="22"/>
              </w:rPr>
              <w:t>机遇</w:t>
            </w:r>
          </w:p>
        </w:tc>
        <w:tc>
          <w:tcPr>
            <w:tcW w:w="727" w:type="dxa"/>
            <w:shd w:val="clear" w:color="auto" w:fill="F5F5F5"/>
            <w:vAlign w:val="top"/>
          </w:tcPr>
          <w:p>
            <w:pPr>
              <w:spacing w:before="90" w:line="175" w:lineRule="auto"/>
              <w:ind w:left="241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pacing w:val="-6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华文楷体" w:cs="Times New Roman"/>
                <w:spacing w:val="-5"/>
                <w:sz w:val="22"/>
                <w:szCs w:val="22"/>
              </w:rPr>
              <w:t>-2</w:t>
            </w:r>
          </w:p>
        </w:tc>
        <w:tc>
          <w:tcPr>
            <w:tcW w:w="667" w:type="dxa"/>
            <w:shd w:val="clear" w:color="auto" w:fill="F5F5F5"/>
            <w:vAlign w:val="top"/>
          </w:tcPr>
          <w:p>
            <w:pPr>
              <w:jc w:val="both"/>
              <w:rPr>
                <w:rFonts w:hint="default" w:ascii="Times New Roman" w:hAnsi="Times New Roman" w:eastAsia="华文楷体" w:cs="Times New Roman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华文楷体" w:cs="Times New Roman"/>
                <w:sz w:val="21"/>
              </w:rPr>
            </w:pP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single" w:color="808080" w:sz="2" w:space="0"/>
            <w:insideV w:val="single" w:color="80808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5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华文楷体" w:cs="Times New Roman"/>
                <w:sz w:val="21"/>
              </w:rPr>
            </w:pPr>
          </w:p>
        </w:tc>
        <w:tc>
          <w:tcPr>
            <w:tcW w:w="1274" w:type="dxa"/>
            <w:shd w:val="clear" w:color="auto" w:fill="F5F5F5"/>
            <w:vAlign w:val="top"/>
          </w:tcPr>
          <w:p>
            <w:pPr>
              <w:spacing w:before="252" w:line="175" w:lineRule="auto"/>
              <w:ind w:left="115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华文楷体" w:cs="Times New Roman"/>
                <w:spacing w:val="-1"/>
                <w:sz w:val="22"/>
                <w:szCs w:val="22"/>
                <w:lang w:eastAsia="zh-CN"/>
              </w:rPr>
              <w:t>GCD</w:t>
            </w:r>
            <w:r>
              <w:rPr>
                <w:rFonts w:hint="default" w:ascii="Times New Roman" w:hAnsi="Times New Roman" w:eastAsia="华文楷体" w:cs="Times New Roman"/>
                <w:spacing w:val="-1"/>
                <w:sz w:val="22"/>
                <w:szCs w:val="22"/>
              </w:rPr>
              <w:t>-L2208</w:t>
            </w:r>
          </w:p>
        </w:tc>
        <w:tc>
          <w:tcPr>
            <w:tcW w:w="3755" w:type="dxa"/>
            <w:shd w:val="clear" w:color="auto" w:fill="F5F5F5"/>
            <w:vAlign w:val="top"/>
          </w:tcPr>
          <w:p>
            <w:pPr>
              <w:spacing w:before="54" w:line="217" w:lineRule="auto"/>
              <w:ind w:left="940" w:right="136" w:hanging="797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z w:val="22"/>
                <w:szCs w:val="22"/>
              </w:rPr>
              <w:t>Leadership</w:t>
            </w:r>
            <w:r>
              <w:rPr>
                <w:rFonts w:hint="default" w:ascii="Times New Roman" w:hAnsi="Times New Roman" w:eastAsia="华文楷体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sz w:val="22"/>
                <w:szCs w:val="22"/>
              </w:rPr>
              <w:t>in</w:t>
            </w:r>
            <w:r>
              <w:rPr>
                <w:rFonts w:hint="default" w:ascii="Times New Roman" w:hAnsi="Times New Roman" w:eastAsia="华文楷体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sz w:val="22"/>
                <w:szCs w:val="22"/>
              </w:rPr>
              <w:t>UN and UNESCO to deal with</w:t>
            </w:r>
            <w:r>
              <w:rPr>
                <w:rFonts w:hint="default" w:ascii="Times New Roman" w:hAnsi="Times New Roman" w:eastAsia="华文楷体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sz w:val="22"/>
                <w:szCs w:val="22"/>
              </w:rPr>
              <w:t>global</w:t>
            </w:r>
            <w:r>
              <w:rPr>
                <w:rFonts w:hint="default" w:ascii="Times New Roman" w:hAnsi="Times New Roman" w:eastAsia="华文楷体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sz w:val="22"/>
                <w:szCs w:val="22"/>
              </w:rPr>
              <w:t>challenges</w:t>
            </w:r>
          </w:p>
        </w:tc>
        <w:tc>
          <w:tcPr>
            <w:tcW w:w="727" w:type="dxa"/>
            <w:shd w:val="clear" w:color="auto" w:fill="F5F5F5"/>
            <w:vAlign w:val="top"/>
          </w:tcPr>
          <w:p>
            <w:pPr>
              <w:spacing w:before="252" w:line="175" w:lineRule="auto"/>
              <w:ind w:left="241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pacing w:val="-6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华文楷体" w:cs="Times New Roman"/>
                <w:spacing w:val="-5"/>
                <w:sz w:val="22"/>
                <w:szCs w:val="22"/>
              </w:rPr>
              <w:t>-2</w:t>
            </w:r>
          </w:p>
        </w:tc>
        <w:tc>
          <w:tcPr>
            <w:tcW w:w="667" w:type="dxa"/>
            <w:shd w:val="clear" w:color="auto" w:fill="F5F5F5"/>
            <w:vAlign w:val="top"/>
          </w:tcPr>
          <w:p>
            <w:pPr>
              <w:jc w:val="both"/>
              <w:rPr>
                <w:rFonts w:hint="default" w:ascii="Times New Roman" w:hAnsi="Times New Roman" w:eastAsia="华文楷体" w:cs="Times New Roman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华文楷体" w:cs="Times New Roman"/>
                <w:sz w:val="21"/>
              </w:rPr>
            </w:pP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single" w:color="808080" w:sz="2" w:space="0"/>
            <w:insideV w:val="single" w:color="80808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568" w:type="dxa"/>
            <w:vMerge w:val="continue"/>
            <w:tcBorders>
              <w:top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华文楷体" w:cs="Times New Roman"/>
                <w:sz w:val="21"/>
              </w:rPr>
            </w:pPr>
          </w:p>
        </w:tc>
        <w:tc>
          <w:tcPr>
            <w:tcW w:w="1274" w:type="dxa"/>
            <w:shd w:val="clear" w:color="auto" w:fill="F5F5F5"/>
            <w:vAlign w:val="top"/>
          </w:tcPr>
          <w:p>
            <w:pPr>
              <w:spacing w:before="94" w:line="175" w:lineRule="auto"/>
              <w:ind w:left="115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华文楷体" w:cs="Times New Roman"/>
                <w:spacing w:val="-1"/>
                <w:sz w:val="22"/>
                <w:szCs w:val="22"/>
                <w:lang w:eastAsia="zh-CN"/>
              </w:rPr>
              <w:t>GCD</w:t>
            </w:r>
            <w:r>
              <w:rPr>
                <w:rFonts w:hint="default" w:ascii="Times New Roman" w:hAnsi="Times New Roman" w:eastAsia="华文楷体" w:cs="Times New Roman"/>
                <w:spacing w:val="-1"/>
                <w:sz w:val="22"/>
                <w:szCs w:val="22"/>
              </w:rPr>
              <w:t>-L2209</w:t>
            </w:r>
          </w:p>
        </w:tc>
        <w:tc>
          <w:tcPr>
            <w:tcW w:w="3755" w:type="dxa"/>
            <w:shd w:val="clear" w:color="auto" w:fill="F5F5F5"/>
            <w:vAlign w:val="top"/>
          </w:tcPr>
          <w:p>
            <w:pPr>
              <w:spacing w:before="57" w:line="205" w:lineRule="auto"/>
              <w:ind w:left="783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pacing w:val="-1"/>
                <w:sz w:val="22"/>
                <w:szCs w:val="22"/>
              </w:rPr>
              <w:t>百年大变局与</w:t>
            </w:r>
            <w:r>
              <w:rPr>
                <w:rFonts w:hint="default" w:ascii="Times New Roman" w:hAnsi="Times New Roman" w:eastAsia="华文楷体" w:cs="Times New Roman"/>
                <w:sz w:val="22"/>
                <w:szCs w:val="22"/>
              </w:rPr>
              <w:t>中国发展</w:t>
            </w:r>
          </w:p>
        </w:tc>
        <w:tc>
          <w:tcPr>
            <w:tcW w:w="727" w:type="dxa"/>
            <w:shd w:val="clear" w:color="auto" w:fill="F5F5F5"/>
            <w:vAlign w:val="top"/>
          </w:tcPr>
          <w:p>
            <w:pPr>
              <w:spacing w:before="94" w:line="175" w:lineRule="auto"/>
              <w:ind w:left="241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pacing w:val="-6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华文楷体" w:cs="Times New Roman"/>
                <w:spacing w:val="-5"/>
                <w:sz w:val="22"/>
                <w:szCs w:val="22"/>
              </w:rPr>
              <w:t>-2</w:t>
            </w:r>
          </w:p>
        </w:tc>
        <w:tc>
          <w:tcPr>
            <w:tcW w:w="667" w:type="dxa"/>
            <w:shd w:val="clear" w:color="auto" w:fill="F5F5F5"/>
            <w:vAlign w:val="top"/>
          </w:tcPr>
          <w:p>
            <w:pPr>
              <w:jc w:val="both"/>
              <w:rPr>
                <w:rFonts w:hint="default" w:ascii="Times New Roman" w:hAnsi="Times New Roman" w:eastAsia="华文楷体" w:cs="Times New Roman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华文楷体" w:cs="Times New Roman"/>
                <w:sz w:val="21"/>
              </w:rPr>
            </w:pPr>
          </w:p>
        </w:tc>
      </w:tr>
    </w:tbl>
    <w:p>
      <w:pPr>
        <w:jc w:val="both"/>
        <w:rPr>
          <w:rFonts w:hint="default" w:ascii="Times New Roman" w:hAnsi="Times New Roman" w:eastAsia="华文楷体" w:cs="Times New Roman"/>
          <w:sz w:val="21"/>
        </w:rPr>
      </w:pPr>
    </w:p>
    <w:p>
      <w:pPr>
        <w:jc w:val="both"/>
        <w:rPr>
          <w:rFonts w:hint="default" w:ascii="Times New Roman" w:hAnsi="Times New Roman" w:eastAsia="华文楷体" w:cs="Times New Roman"/>
        </w:rPr>
        <w:sectPr>
          <w:headerReference r:id="rId3" w:type="default"/>
          <w:footerReference r:id="rId4" w:type="default"/>
          <w:pgSz w:w="11907" w:h="16839"/>
          <w:pgMar w:top="1552" w:right="1608" w:bottom="978" w:left="1608" w:header="1247" w:footer="81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tbl>
      <w:tblPr>
        <w:tblStyle w:val="7"/>
        <w:tblW w:w="8684" w:type="dxa"/>
        <w:tblInd w:w="2" w:type="dxa"/>
        <w:tblBorders>
          <w:top w:val="single" w:color="808080" w:sz="2" w:space="0"/>
          <w:left w:val="single" w:color="808080" w:sz="2" w:space="0"/>
          <w:bottom w:val="single" w:color="808080" w:sz="2" w:space="0"/>
          <w:right w:val="single" w:color="808080" w:sz="2" w:space="0"/>
          <w:insideH w:val="single" w:color="808080" w:sz="2" w:space="0"/>
          <w:insideV w:val="single" w:color="80808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8"/>
        <w:gridCol w:w="1274"/>
        <w:gridCol w:w="3755"/>
        <w:gridCol w:w="727"/>
        <w:gridCol w:w="667"/>
        <w:gridCol w:w="693"/>
      </w:tblGrid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single" w:color="808080" w:sz="2" w:space="0"/>
            <w:insideV w:val="single" w:color="80808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68" w:type="dxa"/>
            <w:vMerge w:val="restart"/>
            <w:vAlign w:val="top"/>
          </w:tcPr>
          <w:p>
            <w:pPr>
              <w:spacing w:line="307" w:lineRule="auto"/>
              <w:jc w:val="both"/>
              <w:rPr>
                <w:rFonts w:hint="default" w:ascii="Times New Roman" w:hAnsi="Times New Roman" w:eastAsia="华文楷体" w:cs="Times New Roman"/>
                <w:sz w:val="21"/>
              </w:rPr>
            </w:pPr>
          </w:p>
          <w:p>
            <w:pPr>
              <w:tabs>
                <w:tab w:val="left" w:pos="271"/>
              </w:tabs>
              <w:spacing w:before="80" w:line="252" w:lineRule="auto"/>
              <w:ind w:right="166"/>
              <w:jc w:val="center"/>
              <w:rPr>
                <w:rFonts w:hint="default" w:ascii="Times New Roman" w:hAnsi="Times New Roman" w:eastAsia="华文楷体" w:cs="Times New Roman"/>
                <w:spacing w:val="-3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>
            <w:pPr>
              <w:tabs>
                <w:tab w:val="left" w:pos="271"/>
              </w:tabs>
              <w:spacing w:before="80" w:line="252" w:lineRule="auto"/>
              <w:ind w:right="166"/>
              <w:jc w:val="center"/>
              <w:rPr>
                <w:rFonts w:hint="default" w:ascii="Times New Roman" w:hAnsi="Times New Roman" w:eastAsia="华文楷体" w:cs="Times New Roman"/>
                <w:spacing w:val="-3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>
            <w:pPr>
              <w:tabs>
                <w:tab w:val="left" w:pos="271"/>
              </w:tabs>
              <w:spacing w:before="80" w:line="252" w:lineRule="auto"/>
              <w:ind w:right="166"/>
              <w:jc w:val="center"/>
              <w:rPr>
                <w:rFonts w:hint="default" w:ascii="Times New Roman" w:hAnsi="Times New Roman" w:eastAsia="华文楷体" w:cs="Times New Roman"/>
                <w:spacing w:val="-3"/>
                <w:sz w:val="22"/>
                <w:szCs w:val="22"/>
                <w:lang w:val="en-US" w:eastAsia="zh-CN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>
            <w:pPr>
              <w:tabs>
                <w:tab w:val="left" w:pos="271"/>
              </w:tabs>
              <w:spacing w:before="80" w:line="252" w:lineRule="auto"/>
              <w:ind w:right="166"/>
              <w:jc w:val="center"/>
              <w:rPr>
                <w:rFonts w:hint="default" w:ascii="Times New Roman" w:hAnsi="Times New Roman" w:eastAsia="华文楷体" w:cs="Times New Roman"/>
                <w:spacing w:val="-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default" w:ascii="Times New Roman" w:hAnsi="Times New Roman" w:eastAsia="华文楷体" w:cs="Times New Roman"/>
                <w:spacing w:val="-3"/>
                <w:sz w:val="22"/>
                <w:szCs w:val="22"/>
                <w:lang w:val="en-US" w:eastAsia="zh-CN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 </w:t>
            </w:r>
            <w:r>
              <w:rPr>
                <w:rFonts w:hint="default" w:ascii="Times New Roman" w:hAnsi="Times New Roman" w:eastAsia="华文楷体" w:cs="Times New Roman"/>
                <w:spacing w:val="-3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讲</w:t>
            </w:r>
            <w:r>
              <w:rPr>
                <w:rFonts w:hint="default" w:ascii="Times New Roman" w:hAnsi="Times New Roman" w:eastAsia="华文楷体" w:cs="Times New Roman"/>
                <w:spacing w:val="-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座</w:t>
            </w:r>
          </w:p>
          <w:p>
            <w:pPr>
              <w:tabs>
                <w:tab w:val="left" w:pos="271"/>
              </w:tabs>
              <w:spacing w:before="80" w:line="252" w:lineRule="auto"/>
              <w:ind w:right="166"/>
              <w:jc w:val="center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pacing w:val="6"/>
                <w:sz w:val="22"/>
                <w:szCs w:val="22"/>
                <w:lang w:val="en-US" w:eastAsia="zh-CN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 </w:t>
            </w:r>
            <w:r>
              <w:rPr>
                <w:rFonts w:hint="default" w:ascii="Times New Roman" w:hAnsi="Times New Roman" w:eastAsia="华文楷体" w:cs="Times New Roman"/>
                <w:spacing w:val="6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hint="default" w:ascii="Times New Roman" w:hAnsi="Times New Roman" w:eastAsia="华文楷体" w:cs="Times New Roman"/>
                <w:spacing w:val="4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2023学年)</w:t>
            </w:r>
          </w:p>
        </w:tc>
        <w:tc>
          <w:tcPr>
            <w:tcW w:w="1274" w:type="dxa"/>
            <w:vAlign w:val="top"/>
          </w:tcPr>
          <w:p>
            <w:pPr>
              <w:spacing w:before="90" w:line="175" w:lineRule="auto"/>
              <w:ind w:left="115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华文楷体" w:cs="Times New Roman"/>
                <w:spacing w:val="-1"/>
                <w:sz w:val="22"/>
                <w:szCs w:val="22"/>
                <w:lang w:eastAsia="zh-CN"/>
              </w:rPr>
              <w:t>GCD</w:t>
            </w:r>
            <w:r>
              <w:rPr>
                <w:rFonts w:hint="default" w:ascii="Times New Roman" w:hAnsi="Times New Roman" w:eastAsia="华文楷体" w:cs="Times New Roman"/>
                <w:spacing w:val="-1"/>
                <w:sz w:val="22"/>
                <w:szCs w:val="22"/>
              </w:rPr>
              <w:t>-L2301</w:t>
            </w:r>
          </w:p>
        </w:tc>
        <w:tc>
          <w:tcPr>
            <w:tcW w:w="3755" w:type="dxa"/>
            <w:vAlign w:val="top"/>
          </w:tcPr>
          <w:p>
            <w:pPr>
              <w:spacing w:before="53" w:line="207" w:lineRule="auto"/>
              <w:ind w:left="673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pacing w:val="-1"/>
                <w:sz w:val="22"/>
                <w:szCs w:val="22"/>
              </w:rPr>
              <w:t>未来空战</w:t>
            </w:r>
            <w:r>
              <w:rPr>
                <w:rFonts w:hint="default" w:ascii="Times New Roman" w:hAnsi="Times New Roman" w:eastAsia="华文楷体" w:cs="Times New Roman"/>
                <w:sz w:val="22"/>
                <w:szCs w:val="22"/>
              </w:rPr>
              <w:t>与国家安全战略</w:t>
            </w:r>
          </w:p>
        </w:tc>
        <w:tc>
          <w:tcPr>
            <w:tcW w:w="727" w:type="dxa"/>
            <w:vAlign w:val="top"/>
          </w:tcPr>
          <w:p>
            <w:pPr>
              <w:spacing w:before="90" w:line="175" w:lineRule="auto"/>
              <w:ind w:left="241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pacing w:val="-6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华文楷体" w:cs="Times New Roman"/>
                <w:spacing w:val="-5"/>
                <w:sz w:val="22"/>
                <w:szCs w:val="22"/>
              </w:rPr>
              <w:t>-2</w:t>
            </w:r>
          </w:p>
        </w:tc>
        <w:tc>
          <w:tcPr>
            <w:tcW w:w="667" w:type="dxa"/>
            <w:vAlign w:val="top"/>
          </w:tcPr>
          <w:p>
            <w:pPr>
              <w:jc w:val="both"/>
              <w:rPr>
                <w:rFonts w:hint="default" w:ascii="Times New Roman" w:hAnsi="Times New Roman" w:eastAsia="华文楷体" w:cs="Times New Roman"/>
                <w:sz w:val="21"/>
              </w:rPr>
            </w:pPr>
          </w:p>
        </w:tc>
        <w:tc>
          <w:tcPr>
            <w:tcW w:w="693" w:type="dxa"/>
            <w:vMerge w:val="restart"/>
            <w:tcBorders>
              <w:bottom w:val="nil"/>
            </w:tcBorders>
            <w:vAlign w:val="top"/>
          </w:tcPr>
          <w:p>
            <w:pPr>
              <w:spacing w:line="308" w:lineRule="auto"/>
              <w:jc w:val="both"/>
              <w:rPr>
                <w:rFonts w:hint="default" w:ascii="Times New Roman" w:hAnsi="Times New Roman" w:eastAsia="华文楷体" w:cs="Times New Roman"/>
                <w:sz w:val="21"/>
              </w:rPr>
            </w:pPr>
          </w:p>
          <w:p>
            <w:pPr>
              <w:spacing w:before="80" w:line="256" w:lineRule="auto"/>
              <w:ind w:left="134" w:right="121" w:hanging="2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pacing w:val="-4"/>
                <w:sz w:val="22"/>
                <w:szCs w:val="22"/>
              </w:rPr>
              <w:t>春</w:t>
            </w:r>
            <w:r>
              <w:rPr>
                <w:rFonts w:hint="default" w:ascii="Times New Roman" w:hAnsi="Times New Roman" w:eastAsia="华文楷体" w:cs="Times New Roman"/>
                <w:spacing w:val="-3"/>
                <w:sz w:val="22"/>
                <w:szCs w:val="22"/>
              </w:rPr>
              <w:t>季</w:t>
            </w:r>
            <w:r>
              <w:rPr>
                <w:rFonts w:hint="default" w:ascii="Times New Roman" w:hAnsi="Times New Roman" w:eastAsia="华文楷体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spacing w:val="-5"/>
                <w:sz w:val="22"/>
                <w:szCs w:val="22"/>
              </w:rPr>
              <w:t>学</w:t>
            </w:r>
            <w:r>
              <w:rPr>
                <w:rFonts w:hint="default" w:ascii="Times New Roman" w:hAnsi="Times New Roman" w:eastAsia="华文楷体" w:cs="Times New Roman"/>
                <w:spacing w:val="-4"/>
                <w:sz w:val="22"/>
                <w:szCs w:val="22"/>
              </w:rPr>
              <w:t>期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single" w:color="808080" w:sz="2" w:space="0"/>
            <w:insideV w:val="single" w:color="80808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568" w:type="dxa"/>
            <w:vMerge w:val="continue"/>
            <w:vAlign w:val="top"/>
          </w:tcPr>
          <w:p>
            <w:pPr>
              <w:jc w:val="both"/>
              <w:rPr>
                <w:rFonts w:hint="default" w:ascii="Times New Roman" w:hAnsi="Times New Roman" w:eastAsia="华文楷体" w:cs="Times New Roman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spacing w:before="86" w:line="175" w:lineRule="auto"/>
              <w:ind w:left="115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华文楷体" w:cs="Times New Roman"/>
                <w:spacing w:val="-1"/>
                <w:sz w:val="22"/>
                <w:szCs w:val="22"/>
                <w:lang w:eastAsia="zh-CN"/>
              </w:rPr>
              <w:t>GCD</w:t>
            </w:r>
            <w:r>
              <w:rPr>
                <w:rFonts w:hint="default" w:ascii="Times New Roman" w:hAnsi="Times New Roman" w:eastAsia="华文楷体" w:cs="Times New Roman"/>
                <w:spacing w:val="-1"/>
                <w:sz w:val="22"/>
                <w:szCs w:val="22"/>
              </w:rPr>
              <w:t>-L2302</w:t>
            </w:r>
          </w:p>
        </w:tc>
        <w:tc>
          <w:tcPr>
            <w:tcW w:w="3755" w:type="dxa"/>
            <w:vAlign w:val="top"/>
          </w:tcPr>
          <w:p>
            <w:pPr>
              <w:spacing w:before="49" w:line="193" w:lineRule="auto"/>
              <w:ind w:left="364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pacing w:val="-1"/>
                <w:sz w:val="22"/>
                <w:szCs w:val="22"/>
              </w:rPr>
              <w:t>Criti</w:t>
            </w:r>
            <w:r>
              <w:rPr>
                <w:rFonts w:hint="default" w:ascii="Times New Roman" w:hAnsi="Times New Roman" w:eastAsia="华文楷体" w:cs="Times New Roman"/>
                <w:sz w:val="22"/>
                <w:szCs w:val="22"/>
              </w:rPr>
              <w:t>cal</w:t>
            </w:r>
            <w:r>
              <w:rPr>
                <w:rFonts w:hint="default" w:ascii="Times New Roman" w:hAnsi="Times New Roman" w:eastAsia="华文楷体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sz w:val="22"/>
                <w:szCs w:val="22"/>
              </w:rPr>
              <w:t>thinking</w:t>
            </w:r>
            <w:r>
              <w:rPr>
                <w:rFonts w:hint="default" w:ascii="Times New Roman" w:hAnsi="Times New Roman" w:eastAsia="华文楷体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sz w:val="22"/>
                <w:szCs w:val="22"/>
              </w:rPr>
              <w:t>and</w:t>
            </w:r>
            <w:r>
              <w:rPr>
                <w:rFonts w:hint="default" w:ascii="Times New Roman" w:hAnsi="Times New Roman" w:eastAsia="华文楷体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sz w:val="22"/>
                <w:szCs w:val="22"/>
              </w:rPr>
              <w:t>academic</w:t>
            </w:r>
            <w:r>
              <w:rPr>
                <w:rFonts w:hint="default" w:ascii="Times New Roman" w:hAnsi="Times New Roman" w:eastAsia="华文楷体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华文楷体" w:cs="Times New Roman"/>
                <w:sz w:val="22"/>
                <w:szCs w:val="22"/>
              </w:rPr>
              <w:t>skills</w:t>
            </w:r>
          </w:p>
        </w:tc>
        <w:tc>
          <w:tcPr>
            <w:tcW w:w="727" w:type="dxa"/>
            <w:vAlign w:val="top"/>
          </w:tcPr>
          <w:p>
            <w:pPr>
              <w:spacing w:before="86" w:line="175" w:lineRule="auto"/>
              <w:ind w:left="241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pacing w:val="-6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华文楷体" w:cs="Times New Roman"/>
                <w:spacing w:val="-5"/>
                <w:sz w:val="22"/>
                <w:szCs w:val="22"/>
              </w:rPr>
              <w:t>-2</w:t>
            </w:r>
          </w:p>
        </w:tc>
        <w:tc>
          <w:tcPr>
            <w:tcW w:w="667" w:type="dxa"/>
            <w:vAlign w:val="top"/>
          </w:tcPr>
          <w:p>
            <w:pPr>
              <w:jc w:val="both"/>
              <w:rPr>
                <w:rFonts w:hint="default" w:ascii="Times New Roman" w:hAnsi="Times New Roman" w:eastAsia="华文楷体" w:cs="Times New Roman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华文楷体" w:cs="Times New Roman"/>
                <w:sz w:val="21"/>
              </w:rPr>
            </w:pP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single" w:color="808080" w:sz="2" w:space="0"/>
            <w:insideV w:val="single" w:color="80808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68" w:type="dxa"/>
            <w:vMerge w:val="continue"/>
            <w:vAlign w:val="top"/>
          </w:tcPr>
          <w:p>
            <w:pPr>
              <w:jc w:val="both"/>
              <w:rPr>
                <w:rFonts w:hint="default" w:ascii="Times New Roman" w:hAnsi="Times New Roman" w:eastAsia="华文楷体" w:cs="Times New Roman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spacing w:before="87" w:line="175" w:lineRule="auto"/>
              <w:ind w:left="115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华文楷体" w:cs="Times New Roman"/>
                <w:spacing w:val="-1"/>
                <w:sz w:val="22"/>
                <w:szCs w:val="22"/>
                <w:lang w:eastAsia="zh-CN"/>
              </w:rPr>
              <w:t>GCD</w:t>
            </w:r>
            <w:r>
              <w:rPr>
                <w:rFonts w:hint="default" w:ascii="Times New Roman" w:hAnsi="Times New Roman" w:eastAsia="华文楷体" w:cs="Times New Roman"/>
                <w:spacing w:val="-1"/>
                <w:sz w:val="22"/>
                <w:szCs w:val="22"/>
              </w:rPr>
              <w:t>-L2303</w:t>
            </w:r>
          </w:p>
        </w:tc>
        <w:tc>
          <w:tcPr>
            <w:tcW w:w="3755" w:type="dxa"/>
            <w:vAlign w:val="top"/>
          </w:tcPr>
          <w:p>
            <w:pPr>
              <w:spacing w:before="50" w:line="206" w:lineRule="auto"/>
              <w:ind w:left="728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pacing w:val="-1"/>
                <w:sz w:val="22"/>
                <w:szCs w:val="22"/>
              </w:rPr>
              <w:t xml:space="preserve">怀家国天下 </w:t>
            </w:r>
            <w:r>
              <w:rPr>
                <w:rFonts w:hint="default" w:ascii="Times New Roman" w:hAnsi="Times New Roman" w:eastAsia="华文楷体" w:cs="Times New Roman"/>
                <w:sz w:val="22"/>
                <w:szCs w:val="22"/>
              </w:rPr>
              <w:t xml:space="preserve"> 逐多彩人生</w:t>
            </w:r>
          </w:p>
        </w:tc>
        <w:tc>
          <w:tcPr>
            <w:tcW w:w="727" w:type="dxa"/>
            <w:vAlign w:val="top"/>
          </w:tcPr>
          <w:p>
            <w:pPr>
              <w:spacing w:before="87" w:line="175" w:lineRule="auto"/>
              <w:ind w:left="241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pacing w:val="-6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华文楷体" w:cs="Times New Roman"/>
                <w:spacing w:val="-5"/>
                <w:sz w:val="22"/>
                <w:szCs w:val="22"/>
              </w:rPr>
              <w:t>-2</w:t>
            </w:r>
          </w:p>
        </w:tc>
        <w:tc>
          <w:tcPr>
            <w:tcW w:w="667" w:type="dxa"/>
            <w:vAlign w:val="top"/>
          </w:tcPr>
          <w:p>
            <w:pPr>
              <w:jc w:val="both"/>
              <w:rPr>
                <w:rFonts w:hint="default" w:ascii="Times New Roman" w:hAnsi="Times New Roman" w:eastAsia="华文楷体" w:cs="Times New Roman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华文楷体" w:cs="Times New Roman"/>
                <w:sz w:val="21"/>
              </w:rPr>
            </w:pP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single" w:color="808080" w:sz="2" w:space="0"/>
            <w:insideV w:val="single" w:color="80808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568" w:type="dxa"/>
            <w:vMerge w:val="continue"/>
            <w:vAlign w:val="top"/>
          </w:tcPr>
          <w:p>
            <w:pPr>
              <w:jc w:val="both"/>
              <w:rPr>
                <w:rFonts w:hint="default" w:ascii="Times New Roman" w:hAnsi="Times New Roman" w:eastAsia="华文楷体" w:cs="Times New Roman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spacing w:before="88" w:line="175" w:lineRule="auto"/>
              <w:ind w:left="115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华文楷体" w:cs="Times New Roman"/>
                <w:spacing w:val="-1"/>
                <w:sz w:val="22"/>
                <w:szCs w:val="22"/>
                <w:lang w:eastAsia="zh-CN"/>
              </w:rPr>
              <w:t>GCD</w:t>
            </w:r>
            <w:r>
              <w:rPr>
                <w:rFonts w:hint="default" w:ascii="Times New Roman" w:hAnsi="Times New Roman" w:eastAsia="华文楷体" w:cs="Times New Roman"/>
                <w:spacing w:val="-1"/>
                <w:sz w:val="22"/>
                <w:szCs w:val="22"/>
              </w:rPr>
              <w:t>-L2304</w:t>
            </w:r>
          </w:p>
        </w:tc>
        <w:tc>
          <w:tcPr>
            <w:tcW w:w="3755" w:type="dxa"/>
            <w:vAlign w:val="top"/>
          </w:tcPr>
          <w:p>
            <w:pPr>
              <w:spacing w:before="52" w:line="203" w:lineRule="auto"/>
              <w:ind w:left="1005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pacing w:val="-1"/>
                <w:sz w:val="22"/>
                <w:szCs w:val="22"/>
              </w:rPr>
              <w:t>走向世界的新</w:t>
            </w:r>
            <w:r>
              <w:rPr>
                <w:rFonts w:hint="default" w:ascii="Times New Roman" w:hAnsi="Times New Roman" w:eastAsia="华文楷体" w:cs="Times New Roman"/>
                <w:sz w:val="22"/>
                <w:szCs w:val="22"/>
              </w:rPr>
              <w:t>青年</w:t>
            </w:r>
          </w:p>
        </w:tc>
        <w:tc>
          <w:tcPr>
            <w:tcW w:w="727" w:type="dxa"/>
            <w:vAlign w:val="top"/>
          </w:tcPr>
          <w:p>
            <w:pPr>
              <w:spacing w:before="88" w:line="175" w:lineRule="auto"/>
              <w:ind w:left="241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pacing w:val="-6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华文楷体" w:cs="Times New Roman"/>
                <w:spacing w:val="-5"/>
                <w:sz w:val="22"/>
                <w:szCs w:val="22"/>
              </w:rPr>
              <w:t>-2</w:t>
            </w:r>
          </w:p>
        </w:tc>
        <w:tc>
          <w:tcPr>
            <w:tcW w:w="667" w:type="dxa"/>
            <w:vAlign w:val="top"/>
          </w:tcPr>
          <w:p>
            <w:pPr>
              <w:jc w:val="both"/>
              <w:rPr>
                <w:rFonts w:hint="default" w:ascii="Times New Roman" w:hAnsi="Times New Roman" w:eastAsia="华文楷体" w:cs="Times New Roman"/>
                <w:sz w:val="21"/>
              </w:rPr>
            </w:pPr>
          </w:p>
        </w:tc>
        <w:tc>
          <w:tcPr>
            <w:tcW w:w="693" w:type="dxa"/>
            <w:vMerge w:val="continue"/>
            <w:tcBorders>
              <w:top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华文楷体" w:cs="Times New Roman"/>
                <w:sz w:val="21"/>
              </w:rPr>
            </w:pP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single" w:color="808080" w:sz="2" w:space="0"/>
            <w:insideV w:val="single" w:color="80808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568" w:type="dxa"/>
            <w:vMerge w:val="continue"/>
            <w:vAlign w:val="top"/>
          </w:tcPr>
          <w:p>
            <w:pPr>
              <w:jc w:val="both"/>
              <w:rPr>
                <w:rFonts w:hint="default" w:ascii="Times New Roman" w:hAnsi="Times New Roman" w:eastAsia="华文楷体" w:cs="Times New Roman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176" w:lineRule="auto"/>
              <w:ind w:left="113" w:leftChars="0"/>
              <w:textAlignment w:val="baseline"/>
              <w:rPr>
                <w:rFonts w:hint="default" w:ascii="Times New Roman" w:hAnsi="Times New Roman" w:eastAsia="华文楷体" w:cs="Times New Roman"/>
                <w:snapToGrid w:val="0"/>
                <w:color w:val="000000"/>
                <w:spacing w:val="-1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华文楷体" w:cs="Times New Roman"/>
                <w:spacing w:val="-1"/>
                <w:sz w:val="22"/>
                <w:szCs w:val="22"/>
                <w:lang w:eastAsia="zh-CN"/>
              </w:rPr>
              <w:t>GCD</w:t>
            </w:r>
            <w:r>
              <w:rPr>
                <w:rFonts w:hint="default" w:ascii="Times New Roman" w:hAnsi="Times New Roman" w:eastAsia="华文楷体" w:cs="Times New Roman"/>
                <w:spacing w:val="-1"/>
                <w:sz w:val="22"/>
                <w:szCs w:val="22"/>
              </w:rPr>
              <w:t>-L230</w:t>
            </w:r>
            <w:r>
              <w:rPr>
                <w:rFonts w:hint="default" w:ascii="Times New Roman" w:hAnsi="Times New Roman" w:eastAsia="华文楷体" w:cs="Times New Roman"/>
                <w:spacing w:val="-1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3755" w:type="dxa"/>
            <w:vAlign w:val="top"/>
          </w:tcPr>
          <w:p>
            <w:pPr>
              <w:spacing w:before="50" w:line="206" w:lineRule="auto"/>
              <w:jc w:val="center"/>
              <w:rPr>
                <w:rFonts w:hint="default" w:ascii="Times New Roman" w:hAnsi="Times New Roman" w:eastAsia="华文楷体" w:cs="Times New Roman"/>
                <w:spacing w:val="-1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pacing w:val="-1"/>
                <w:sz w:val="22"/>
                <w:szCs w:val="22"/>
              </w:rPr>
              <w:t>从工程师到国际职员：</w:t>
            </w:r>
          </w:p>
          <w:p>
            <w:pPr>
              <w:spacing w:before="50" w:line="206" w:lineRule="auto"/>
              <w:jc w:val="center"/>
              <w:rPr>
                <w:rFonts w:hint="default" w:ascii="Times New Roman" w:hAnsi="Times New Roman" w:eastAsia="华文楷体" w:cs="Times New Roman"/>
                <w:snapToGrid w:val="0"/>
                <w:color w:val="000000"/>
                <w:spacing w:val="-1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华文楷体" w:cs="Times New Roman"/>
                <w:spacing w:val="-1"/>
                <w:sz w:val="22"/>
                <w:szCs w:val="22"/>
              </w:rPr>
              <w:t>职业发展的几点启示</w:t>
            </w:r>
          </w:p>
        </w:tc>
        <w:tc>
          <w:tcPr>
            <w:tcW w:w="72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176" w:lineRule="auto"/>
              <w:ind w:left="244" w:leftChars="0"/>
              <w:textAlignment w:val="baseline"/>
              <w:rPr>
                <w:rFonts w:hint="default" w:ascii="Times New Roman" w:hAnsi="Times New Roman" w:eastAsia="华文楷体" w:cs="Times New Roman"/>
                <w:snapToGrid w:val="0"/>
                <w:color w:val="000000"/>
                <w:spacing w:val="-6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pacing w:val="-6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华文楷体" w:cs="Times New Roman"/>
                <w:spacing w:val="-5"/>
                <w:sz w:val="22"/>
                <w:szCs w:val="22"/>
              </w:rPr>
              <w:t>-2</w:t>
            </w:r>
          </w:p>
        </w:tc>
        <w:tc>
          <w:tcPr>
            <w:tcW w:w="667" w:type="dxa"/>
            <w:vAlign w:val="top"/>
          </w:tcPr>
          <w:p>
            <w:pPr>
              <w:jc w:val="both"/>
              <w:rPr>
                <w:rFonts w:hint="default" w:ascii="Times New Roman" w:hAnsi="Times New Roman" w:eastAsia="华文楷体" w:cs="Times New Roman"/>
                <w:sz w:val="21"/>
              </w:rPr>
            </w:pPr>
          </w:p>
        </w:tc>
        <w:tc>
          <w:tcPr>
            <w:tcW w:w="693" w:type="dxa"/>
            <w:vMerge w:val="restart"/>
            <w:tcBorders>
              <w:top w:val="nil"/>
            </w:tcBorders>
            <w:vAlign w:val="top"/>
          </w:tcPr>
          <w:p>
            <w:pPr>
              <w:spacing w:before="80" w:line="256" w:lineRule="auto"/>
              <w:ind w:left="134" w:right="121" w:hanging="2"/>
              <w:jc w:val="both"/>
              <w:rPr>
                <w:rFonts w:hint="default" w:ascii="Times New Roman" w:hAnsi="Times New Roman" w:eastAsia="华文楷体" w:cs="Times New Roman"/>
                <w:spacing w:val="-4"/>
                <w:sz w:val="22"/>
                <w:szCs w:val="22"/>
                <w:lang w:val="en-US" w:eastAsia="zh-CN"/>
              </w:rPr>
            </w:pPr>
          </w:p>
          <w:p>
            <w:pPr>
              <w:spacing w:before="80" w:line="256" w:lineRule="auto"/>
              <w:ind w:left="134" w:right="121" w:hanging="2"/>
              <w:jc w:val="both"/>
              <w:rPr>
                <w:rFonts w:hint="default" w:ascii="Times New Roman" w:hAnsi="Times New Roman" w:eastAsia="华文楷体" w:cs="Times New Roman"/>
                <w:spacing w:val="-4"/>
                <w:sz w:val="22"/>
                <w:szCs w:val="22"/>
                <w:lang w:val="en-US" w:eastAsia="zh-CN"/>
              </w:rPr>
            </w:pPr>
          </w:p>
          <w:p>
            <w:pPr>
              <w:spacing w:before="80" w:line="256" w:lineRule="auto"/>
              <w:ind w:left="134" w:right="121" w:hanging="2"/>
              <w:jc w:val="both"/>
              <w:rPr>
                <w:rFonts w:hint="default" w:ascii="Times New Roman" w:hAnsi="Times New Roman" w:eastAsia="华文楷体" w:cs="Times New Roman"/>
                <w:spacing w:val="-4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57" w:lineRule="auto"/>
              <w:ind w:left="130" w:right="119" w:firstLine="0"/>
              <w:jc w:val="both"/>
              <w:textAlignment w:val="baseline"/>
              <w:rPr>
                <w:rFonts w:hint="default" w:ascii="Times New Roman" w:hAnsi="Times New Roman" w:eastAsia="华文楷体" w:cs="Times New Roman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华文楷体" w:cs="Times New Roman"/>
                <w:spacing w:val="-4"/>
                <w:sz w:val="22"/>
                <w:szCs w:val="22"/>
                <w:lang w:val="en-US" w:eastAsia="zh-CN"/>
              </w:rPr>
              <w:t>秋季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57" w:lineRule="auto"/>
              <w:ind w:left="130" w:right="119" w:firstLine="0"/>
              <w:jc w:val="both"/>
              <w:textAlignment w:val="baseline"/>
              <w:rPr>
                <w:rFonts w:hint="default" w:ascii="Times New Roman" w:hAnsi="Times New Roman" w:eastAsia="华文楷体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华文楷体" w:cs="Times New Roman"/>
                <w:spacing w:val="-4"/>
                <w:sz w:val="22"/>
                <w:szCs w:val="22"/>
                <w:lang w:val="en-US" w:eastAsia="zh-CN"/>
              </w:rPr>
              <w:t>学期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single" w:color="808080" w:sz="2" w:space="0"/>
            <w:insideV w:val="single" w:color="80808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568" w:type="dxa"/>
            <w:vMerge w:val="continue"/>
            <w:vAlign w:val="top"/>
          </w:tcPr>
          <w:p>
            <w:pPr>
              <w:jc w:val="both"/>
              <w:rPr>
                <w:rFonts w:hint="default" w:ascii="Times New Roman" w:hAnsi="Times New Roman" w:eastAsia="华文楷体" w:cs="Times New Roman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176" w:lineRule="auto"/>
              <w:ind w:left="113" w:leftChars="0"/>
              <w:textAlignment w:val="baseline"/>
              <w:rPr>
                <w:rFonts w:hint="default" w:ascii="Times New Roman" w:hAnsi="Times New Roman" w:eastAsia="华文楷体" w:cs="Times New Roman"/>
                <w:snapToGrid w:val="0"/>
                <w:color w:val="000000"/>
                <w:spacing w:val="-1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华文楷体" w:cs="Times New Roman"/>
                <w:spacing w:val="-1"/>
                <w:sz w:val="22"/>
                <w:szCs w:val="22"/>
                <w:lang w:eastAsia="zh-CN"/>
              </w:rPr>
              <w:t>GCD</w:t>
            </w:r>
            <w:r>
              <w:rPr>
                <w:rFonts w:hint="default" w:ascii="Times New Roman" w:hAnsi="Times New Roman" w:eastAsia="华文楷体" w:cs="Times New Roman"/>
                <w:spacing w:val="-1"/>
                <w:sz w:val="22"/>
                <w:szCs w:val="22"/>
              </w:rPr>
              <w:t>-L230</w:t>
            </w:r>
            <w:r>
              <w:rPr>
                <w:rFonts w:hint="default" w:ascii="Times New Roman" w:hAnsi="Times New Roman" w:eastAsia="华文楷体" w:cs="Times New Roman"/>
                <w:spacing w:val="-1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3755" w:type="dxa"/>
            <w:vAlign w:val="top"/>
          </w:tcPr>
          <w:p>
            <w:pPr>
              <w:spacing w:before="50" w:line="206" w:lineRule="auto"/>
              <w:jc w:val="center"/>
              <w:rPr>
                <w:rFonts w:hint="default" w:ascii="Times New Roman" w:hAnsi="Times New Roman" w:eastAsia="华文楷体" w:cs="Times New Roman"/>
                <w:spacing w:val="-1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pacing w:val="-1"/>
                <w:sz w:val="22"/>
                <w:szCs w:val="22"/>
              </w:rPr>
              <w:t>跨文化交往中的法律陷阱与应对策略</w:t>
            </w:r>
          </w:p>
          <w:p>
            <w:pPr>
              <w:spacing w:before="50" w:line="206" w:lineRule="auto"/>
              <w:jc w:val="center"/>
              <w:rPr>
                <w:rFonts w:hint="default" w:ascii="Times New Roman" w:hAnsi="Times New Roman" w:eastAsia="华文楷体" w:cs="Times New Roman"/>
                <w:snapToGrid w:val="0"/>
                <w:color w:val="000000"/>
                <w:spacing w:val="-1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华文楷体" w:cs="Times New Roman"/>
                <w:spacing w:val="-1"/>
                <w:sz w:val="22"/>
                <w:szCs w:val="22"/>
              </w:rPr>
              <w:t>-- 青年学生必备的国际法技巧！</w:t>
            </w:r>
          </w:p>
        </w:tc>
        <w:tc>
          <w:tcPr>
            <w:tcW w:w="72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176" w:lineRule="auto"/>
              <w:ind w:left="244" w:leftChars="0"/>
              <w:textAlignment w:val="baseline"/>
              <w:rPr>
                <w:rFonts w:hint="default" w:ascii="Times New Roman" w:hAnsi="Times New Roman" w:eastAsia="华文楷体" w:cs="Times New Roman"/>
                <w:snapToGrid w:val="0"/>
                <w:color w:val="000000"/>
                <w:spacing w:val="-6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pacing w:val="-6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华文楷体" w:cs="Times New Roman"/>
                <w:spacing w:val="-5"/>
                <w:sz w:val="22"/>
                <w:szCs w:val="22"/>
              </w:rPr>
              <w:t>-2</w:t>
            </w:r>
          </w:p>
        </w:tc>
        <w:tc>
          <w:tcPr>
            <w:tcW w:w="667" w:type="dxa"/>
            <w:vAlign w:val="top"/>
          </w:tcPr>
          <w:p>
            <w:pPr>
              <w:jc w:val="both"/>
              <w:rPr>
                <w:rFonts w:hint="default" w:ascii="Times New Roman" w:hAnsi="Times New Roman" w:eastAsia="华文楷体" w:cs="Times New Roman"/>
                <w:sz w:val="21"/>
              </w:rPr>
            </w:pPr>
          </w:p>
        </w:tc>
        <w:tc>
          <w:tcPr>
            <w:tcW w:w="693" w:type="dxa"/>
            <w:vMerge w:val="continue"/>
            <w:vAlign w:val="top"/>
          </w:tcPr>
          <w:p>
            <w:pPr>
              <w:jc w:val="both"/>
              <w:rPr>
                <w:rFonts w:hint="default" w:ascii="Times New Roman" w:hAnsi="Times New Roman" w:eastAsia="华文楷体" w:cs="Times New Roman"/>
                <w:sz w:val="21"/>
              </w:rPr>
            </w:pP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single" w:color="808080" w:sz="2" w:space="0"/>
            <w:insideV w:val="single" w:color="80808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568" w:type="dxa"/>
            <w:vMerge w:val="continue"/>
            <w:vAlign w:val="top"/>
          </w:tcPr>
          <w:p>
            <w:pPr>
              <w:jc w:val="both"/>
              <w:rPr>
                <w:rFonts w:hint="default" w:ascii="Times New Roman" w:hAnsi="Times New Roman" w:eastAsia="华文楷体" w:cs="Times New Roman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176" w:lineRule="auto"/>
              <w:ind w:left="113" w:leftChars="0"/>
              <w:textAlignment w:val="baseline"/>
              <w:rPr>
                <w:rFonts w:hint="default" w:ascii="Times New Roman" w:hAnsi="Times New Roman" w:eastAsia="华文楷体" w:cs="Times New Roman"/>
                <w:snapToGrid w:val="0"/>
                <w:color w:val="000000"/>
                <w:spacing w:val="-1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华文楷体" w:cs="Times New Roman"/>
                <w:spacing w:val="-1"/>
                <w:sz w:val="22"/>
                <w:szCs w:val="22"/>
                <w:lang w:eastAsia="zh-CN"/>
              </w:rPr>
              <w:t>GCD</w:t>
            </w:r>
            <w:r>
              <w:rPr>
                <w:rFonts w:hint="default" w:ascii="Times New Roman" w:hAnsi="Times New Roman" w:eastAsia="华文楷体" w:cs="Times New Roman"/>
                <w:spacing w:val="-1"/>
                <w:sz w:val="22"/>
                <w:szCs w:val="22"/>
              </w:rPr>
              <w:t>-L230</w:t>
            </w:r>
            <w:r>
              <w:rPr>
                <w:rFonts w:hint="default" w:ascii="Times New Roman" w:hAnsi="Times New Roman" w:eastAsia="华文楷体" w:cs="Times New Roman"/>
                <w:spacing w:val="-1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3755" w:type="dxa"/>
            <w:vAlign w:val="top"/>
          </w:tcPr>
          <w:p>
            <w:pPr>
              <w:spacing w:before="50" w:line="206" w:lineRule="auto"/>
              <w:jc w:val="center"/>
              <w:rPr>
                <w:rFonts w:hint="default" w:ascii="Times New Roman" w:hAnsi="Times New Roman" w:eastAsia="华文楷体" w:cs="Times New Roman"/>
                <w:spacing w:val="-1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pacing w:val="-1"/>
                <w:sz w:val="22"/>
                <w:szCs w:val="22"/>
              </w:rPr>
              <w:t>生成式人工智能（Chat-GPT）</w:t>
            </w:r>
          </w:p>
          <w:p>
            <w:pPr>
              <w:spacing w:before="50" w:line="206" w:lineRule="auto"/>
              <w:jc w:val="center"/>
              <w:rPr>
                <w:rFonts w:hint="default" w:ascii="Times New Roman" w:hAnsi="Times New Roman" w:eastAsia="华文楷体" w:cs="Times New Roman"/>
                <w:snapToGrid w:val="0"/>
                <w:color w:val="000000"/>
                <w:spacing w:val="-1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华文楷体" w:cs="Times New Roman"/>
                <w:spacing w:val="-1"/>
                <w:sz w:val="22"/>
                <w:szCs w:val="22"/>
              </w:rPr>
              <w:t>对未来的影响</w:t>
            </w:r>
          </w:p>
        </w:tc>
        <w:tc>
          <w:tcPr>
            <w:tcW w:w="72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176" w:lineRule="auto"/>
              <w:ind w:left="244" w:leftChars="0"/>
              <w:textAlignment w:val="baseline"/>
              <w:rPr>
                <w:rFonts w:hint="default" w:ascii="Times New Roman" w:hAnsi="Times New Roman" w:eastAsia="华文楷体" w:cs="Times New Roman"/>
                <w:snapToGrid w:val="0"/>
                <w:color w:val="000000"/>
                <w:spacing w:val="-6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pacing w:val="-6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华文楷体" w:cs="Times New Roman"/>
                <w:spacing w:val="-5"/>
                <w:sz w:val="22"/>
                <w:szCs w:val="22"/>
              </w:rPr>
              <w:t>-2</w:t>
            </w:r>
          </w:p>
        </w:tc>
        <w:tc>
          <w:tcPr>
            <w:tcW w:w="667" w:type="dxa"/>
            <w:vAlign w:val="top"/>
          </w:tcPr>
          <w:p>
            <w:pPr>
              <w:jc w:val="both"/>
              <w:rPr>
                <w:rFonts w:hint="default" w:ascii="Times New Roman" w:hAnsi="Times New Roman" w:eastAsia="华文楷体" w:cs="Times New Roman"/>
                <w:sz w:val="21"/>
              </w:rPr>
            </w:pPr>
          </w:p>
        </w:tc>
        <w:tc>
          <w:tcPr>
            <w:tcW w:w="693" w:type="dxa"/>
            <w:vMerge w:val="continue"/>
            <w:vAlign w:val="top"/>
          </w:tcPr>
          <w:p>
            <w:pPr>
              <w:jc w:val="both"/>
              <w:rPr>
                <w:rFonts w:hint="default" w:ascii="Times New Roman" w:hAnsi="Times New Roman" w:eastAsia="华文楷体" w:cs="Times New Roman"/>
                <w:sz w:val="21"/>
              </w:rPr>
            </w:pP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single" w:color="808080" w:sz="2" w:space="0"/>
            <w:insideV w:val="single" w:color="80808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568" w:type="dxa"/>
            <w:vMerge w:val="continue"/>
            <w:vAlign w:val="top"/>
          </w:tcPr>
          <w:p>
            <w:pPr>
              <w:jc w:val="both"/>
              <w:rPr>
                <w:rFonts w:hint="default" w:ascii="Times New Roman" w:hAnsi="Times New Roman" w:eastAsia="华文楷体" w:cs="Times New Roman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176" w:lineRule="auto"/>
              <w:ind w:left="113" w:leftChars="0"/>
              <w:textAlignment w:val="baseline"/>
              <w:rPr>
                <w:rFonts w:hint="default" w:ascii="Times New Roman" w:hAnsi="Times New Roman" w:eastAsia="华文楷体" w:cs="Times New Roman"/>
                <w:snapToGrid w:val="0"/>
                <w:color w:val="000000"/>
                <w:spacing w:val="-1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华文楷体" w:cs="Times New Roman"/>
                <w:spacing w:val="-1"/>
                <w:sz w:val="22"/>
                <w:szCs w:val="22"/>
                <w:lang w:eastAsia="zh-CN"/>
              </w:rPr>
              <w:t>GCD</w:t>
            </w:r>
            <w:r>
              <w:rPr>
                <w:rFonts w:hint="default" w:ascii="Times New Roman" w:hAnsi="Times New Roman" w:eastAsia="华文楷体" w:cs="Times New Roman"/>
                <w:spacing w:val="-1"/>
                <w:sz w:val="22"/>
                <w:szCs w:val="22"/>
              </w:rPr>
              <w:t>-L230</w:t>
            </w:r>
            <w:r>
              <w:rPr>
                <w:rFonts w:hint="default" w:ascii="Times New Roman" w:hAnsi="Times New Roman" w:eastAsia="华文楷体" w:cs="Times New Roman"/>
                <w:spacing w:val="-1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3755" w:type="dxa"/>
            <w:vAlign w:val="top"/>
          </w:tcPr>
          <w:p>
            <w:pPr>
              <w:spacing w:before="50" w:line="206" w:lineRule="auto"/>
              <w:jc w:val="center"/>
              <w:rPr>
                <w:rFonts w:hint="default" w:ascii="Times New Roman" w:hAnsi="Times New Roman" w:eastAsia="华文楷体" w:cs="Times New Roman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华文楷体" w:cs="Times New Roman"/>
                <w:spacing w:val="-1"/>
                <w:sz w:val="22"/>
                <w:szCs w:val="22"/>
              </w:rPr>
              <w:t>走向世界的新青年 -</w:t>
            </w:r>
            <w:r>
              <w:rPr>
                <w:rFonts w:hint="default" w:ascii="Times New Roman" w:hAnsi="Times New Roman" w:eastAsia="华文楷体" w:cs="Times New Roman"/>
                <w:spacing w:val="-1"/>
                <w:sz w:val="22"/>
                <w:szCs w:val="22"/>
                <w:lang w:val="en-US" w:eastAsia="zh-CN"/>
              </w:rPr>
              <w:t>-</w:t>
            </w:r>
          </w:p>
          <w:p>
            <w:pPr>
              <w:spacing w:before="50" w:line="206" w:lineRule="auto"/>
              <w:jc w:val="center"/>
              <w:rPr>
                <w:rFonts w:hint="default" w:ascii="Times New Roman" w:hAnsi="Times New Roman" w:eastAsia="华文楷体" w:cs="Times New Roman"/>
                <w:snapToGrid w:val="0"/>
                <w:color w:val="000000"/>
                <w:spacing w:val="-1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华文楷体" w:cs="Times New Roman"/>
                <w:spacing w:val="-1"/>
                <w:sz w:val="22"/>
                <w:szCs w:val="22"/>
              </w:rPr>
              <w:t>第一步：新青年职业发展规划</w:t>
            </w:r>
          </w:p>
        </w:tc>
        <w:tc>
          <w:tcPr>
            <w:tcW w:w="72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176" w:lineRule="auto"/>
              <w:ind w:left="244" w:leftChars="0"/>
              <w:textAlignment w:val="baseline"/>
              <w:rPr>
                <w:rFonts w:hint="default" w:ascii="Times New Roman" w:hAnsi="Times New Roman" w:eastAsia="华文楷体" w:cs="Times New Roman"/>
                <w:snapToGrid w:val="0"/>
                <w:color w:val="000000"/>
                <w:spacing w:val="-6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pacing w:val="-6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华文楷体" w:cs="Times New Roman"/>
                <w:spacing w:val="-5"/>
                <w:sz w:val="22"/>
                <w:szCs w:val="22"/>
              </w:rPr>
              <w:t>-2</w:t>
            </w:r>
          </w:p>
        </w:tc>
        <w:tc>
          <w:tcPr>
            <w:tcW w:w="667" w:type="dxa"/>
            <w:vAlign w:val="top"/>
          </w:tcPr>
          <w:p>
            <w:pPr>
              <w:jc w:val="both"/>
              <w:rPr>
                <w:rFonts w:hint="default" w:ascii="Times New Roman" w:hAnsi="Times New Roman" w:eastAsia="华文楷体" w:cs="Times New Roman"/>
                <w:sz w:val="21"/>
              </w:rPr>
            </w:pPr>
          </w:p>
        </w:tc>
        <w:tc>
          <w:tcPr>
            <w:tcW w:w="693" w:type="dxa"/>
            <w:vMerge w:val="continue"/>
            <w:vAlign w:val="top"/>
          </w:tcPr>
          <w:p>
            <w:pPr>
              <w:jc w:val="both"/>
              <w:rPr>
                <w:rFonts w:hint="default" w:ascii="Times New Roman" w:hAnsi="Times New Roman" w:eastAsia="华文楷体" w:cs="Times New Roman"/>
                <w:sz w:val="21"/>
              </w:rPr>
            </w:pP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single" w:color="808080" w:sz="2" w:space="0"/>
            <w:insideV w:val="single" w:color="80808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568" w:type="dxa"/>
            <w:vMerge w:val="continue"/>
            <w:vAlign w:val="top"/>
          </w:tcPr>
          <w:p>
            <w:pPr>
              <w:jc w:val="both"/>
              <w:rPr>
                <w:rFonts w:hint="default" w:ascii="Times New Roman" w:hAnsi="Times New Roman" w:eastAsia="华文楷体" w:cs="Times New Roman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176" w:lineRule="auto"/>
              <w:ind w:left="113" w:leftChars="0"/>
              <w:textAlignment w:val="baseline"/>
              <w:rPr>
                <w:rFonts w:hint="default" w:ascii="Times New Roman" w:hAnsi="Times New Roman" w:eastAsia="华文楷体" w:cs="Times New Roman"/>
                <w:snapToGrid w:val="0"/>
                <w:color w:val="000000"/>
                <w:spacing w:val="-1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华文楷体" w:cs="Times New Roman"/>
                <w:spacing w:val="-1"/>
                <w:sz w:val="22"/>
                <w:szCs w:val="22"/>
                <w:lang w:eastAsia="zh-CN"/>
              </w:rPr>
              <w:t>GCD</w:t>
            </w:r>
            <w:r>
              <w:rPr>
                <w:rFonts w:hint="default" w:ascii="Times New Roman" w:hAnsi="Times New Roman" w:eastAsia="华文楷体" w:cs="Times New Roman"/>
                <w:spacing w:val="-1"/>
                <w:sz w:val="22"/>
                <w:szCs w:val="22"/>
              </w:rPr>
              <w:t>-L230</w:t>
            </w:r>
            <w:r>
              <w:rPr>
                <w:rFonts w:hint="default" w:ascii="Times New Roman" w:hAnsi="Times New Roman" w:eastAsia="华文楷体" w:cs="Times New Roman"/>
                <w:spacing w:val="-1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3755" w:type="dxa"/>
            <w:vAlign w:val="top"/>
          </w:tcPr>
          <w:p>
            <w:pPr>
              <w:widowControl/>
              <w:spacing w:after="0" w:line="240" w:lineRule="auto"/>
              <w:jc w:val="center"/>
              <w:rPr>
                <w:rFonts w:hint="default" w:ascii="Times New Roman" w:hAnsi="Times New Roman" w:eastAsia="华文楷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华文楷体" w:cs="Times New Roman"/>
                <w:color w:val="000000"/>
                <w:kern w:val="0"/>
                <w:sz w:val="22"/>
              </w:rPr>
              <w:t>大变局下全球治理面临的挑战与</w:t>
            </w:r>
          </w:p>
          <w:p>
            <w:pPr>
              <w:spacing w:before="50" w:line="206" w:lineRule="auto"/>
              <w:jc w:val="center"/>
              <w:rPr>
                <w:rFonts w:hint="default" w:ascii="Times New Roman" w:hAnsi="Times New Roman" w:eastAsia="华文楷体" w:cs="Times New Roman"/>
                <w:snapToGrid w:val="0"/>
                <w:color w:val="000000"/>
                <w:spacing w:val="-1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color w:val="000000"/>
                <w:kern w:val="0"/>
                <w:sz w:val="22"/>
              </w:rPr>
              <w:t>胜任力的培养</w:t>
            </w:r>
          </w:p>
        </w:tc>
        <w:tc>
          <w:tcPr>
            <w:tcW w:w="727" w:type="dxa"/>
            <w:vAlign w:val="top"/>
          </w:tcPr>
          <w:p>
            <w:pPr>
              <w:spacing w:before="88" w:line="175" w:lineRule="auto"/>
              <w:ind w:left="241" w:leftChars="0"/>
              <w:rPr>
                <w:rFonts w:hint="default" w:ascii="Times New Roman" w:hAnsi="Times New Roman" w:eastAsia="华文楷体" w:cs="Times New Roman"/>
                <w:b/>
                <w:bCs/>
                <w:snapToGrid w:val="0"/>
                <w:color w:val="000000"/>
                <w:spacing w:val="-6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pacing w:val="-6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华文楷体" w:cs="Times New Roman"/>
                <w:spacing w:val="-5"/>
                <w:sz w:val="22"/>
                <w:szCs w:val="22"/>
              </w:rPr>
              <w:t>-2</w:t>
            </w:r>
          </w:p>
        </w:tc>
        <w:tc>
          <w:tcPr>
            <w:tcW w:w="667" w:type="dxa"/>
            <w:vAlign w:val="top"/>
          </w:tcPr>
          <w:p>
            <w:pPr>
              <w:jc w:val="both"/>
              <w:rPr>
                <w:rFonts w:hint="default" w:ascii="Times New Roman" w:hAnsi="Times New Roman" w:eastAsia="华文楷体" w:cs="Times New Roman"/>
                <w:sz w:val="21"/>
              </w:rPr>
            </w:pPr>
          </w:p>
        </w:tc>
        <w:tc>
          <w:tcPr>
            <w:tcW w:w="693" w:type="dxa"/>
            <w:vMerge w:val="continue"/>
            <w:vAlign w:val="top"/>
          </w:tcPr>
          <w:p>
            <w:pPr>
              <w:jc w:val="both"/>
              <w:rPr>
                <w:rFonts w:hint="default" w:ascii="Times New Roman" w:hAnsi="Times New Roman" w:eastAsia="华文楷体" w:cs="Times New Roman"/>
                <w:sz w:val="21"/>
              </w:rPr>
            </w:pP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single" w:color="808080" w:sz="2" w:space="0"/>
            <w:insideV w:val="single" w:color="80808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568" w:type="dxa"/>
            <w:shd w:val="clear" w:color="auto" w:fill="F5F5F5"/>
            <w:vAlign w:val="top"/>
          </w:tcPr>
          <w:p>
            <w:pPr>
              <w:spacing w:before="217" w:line="200" w:lineRule="auto"/>
              <w:jc w:val="center"/>
              <w:rPr>
                <w:rFonts w:hint="default" w:ascii="Times New Roman" w:hAnsi="Times New Roman" w:eastAsia="华文宋体" w:cs="Times New Roman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华文楷体" w:cs="Times New Roman"/>
                <w:spacing w:val="-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工作坊</w:t>
            </w:r>
          </w:p>
        </w:tc>
        <w:tc>
          <w:tcPr>
            <w:tcW w:w="1274" w:type="dxa"/>
            <w:shd w:val="clear" w:color="auto" w:fill="F5F5F5"/>
            <w:vAlign w:val="center"/>
          </w:tcPr>
          <w:p>
            <w:pPr>
              <w:jc w:val="center"/>
              <w:rPr>
                <w:rFonts w:hint="eastAsia" w:ascii="Times New Roman" w:hAnsi="Times New Roman" w:eastAsia="华文宋体" w:cs="Times New Roman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华文宋体" w:cs="Times New Roman"/>
                <w:snapToGrid w:val="0"/>
                <w:color w:val="000000"/>
                <w:sz w:val="21"/>
                <w:szCs w:val="21"/>
                <w:lang w:val="en-US" w:eastAsia="zh-CN" w:bidi="ar-SA"/>
              </w:rPr>
              <w:t>GCD-</w:t>
            </w:r>
          </w:p>
          <w:p>
            <w:pPr>
              <w:jc w:val="center"/>
              <w:rPr>
                <w:rFonts w:hint="default" w:ascii="Times New Roman" w:hAnsi="Times New Roman" w:eastAsia="华文宋体" w:cs="Times New Roman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华文宋体" w:cs="Times New Roman"/>
                <w:snapToGrid w:val="0"/>
                <w:color w:val="000000"/>
                <w:sz w:val="21"/>
                <w:szCs w:val="21"/>
                <w:lang w:val="en-US" w:eastAsia="zh-CN" w:bidi="ar-SA"/>
              </w:rPr>
              <w:t>W01-W06</w:t>
            </w:r>
          </w:p>
        </w:tc>
        <w:tc>
          <w:tcPr>
            <w:tcW w:w="3755" w:type="dxa"/>
            <w:shd w:val="clear" w:color="auto" w:fill="F5F5F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204" w:lineRule="auto"/>
              <w:jc w:val="center"/>
              <w:textAlignment w:val="baseline"/>
              <w:rPr>
                <w:rFonts w:hint="default" w:ascii="Times New Roman" w:hAnsi="Times New Roman" w:eastAsia="华文楷体" w:cs="Times New Roman"/>
                <w:spacing w:val="-6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color w:val="000000"/>
                <w:kern w:val="0"/>
                <w:sz w:val="22"/>
              </w:rPr>
              <w:t>依据院校需求，每年组织安排多期主题工作坊。</w:t>
            </w:r>
          </w:p>
        </w:tc>
        <w:tc>
          <w:tcPr>
            <w:tcW w:w="727" w:type="dxa"/>
            <w:shd w:val="clear" w:color="auto" w:fill="F5F5F5"/>
            <w:vAlign w:val="top"/>
          </w:tcPr>
          <w:p>
            <w:pPr>
              <w:jc w:val="both"/>
              <w:rPr>
                <w:rFonts w:hint="default" w:ascii="Times New Roman" w:hAnsi="Times New Roman" w:eastAsia="华文楷体" w:cs="Times New Roman"/>
                <w:sz w:val="21"/>
              </w:rPr>
            </w:pPr>
          </w:p>
        </w:tc>
        <w:tc>
          <w:tcPr>
            <w:tcW w:w="667" w:type="dxa"/>
            <w:shd w:val="clear" w:color="auto" w:fill="F5F5F5"/>
            <w:vAlign w:val="top"/>
          </w:tcPr>
          <w:p>
            <w:pPr>
              <w:spacing w:before="80" w:line="175" w:lineRule="auto"/>
              <w:ind w:left="299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F5F5F5"/>
            <w:vAlign w:val="top"/>
          </w:tcPr>
          <w:p>
            <w:pPr>
              <w:jc w:val="both"/>
              <w:rPr>
                <w:rFonts w:hint="default" w:ascii="Times New Roman" w:hAnsi="Times New Roman" w:eastAsia="华文楷体" w:cs="Times New Roman"/>
                <w:sz w:val="21"/>
              </w:rPr>
            </w:pP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single" w:color="808080" w:sz="2" w:space="0"/>
            <w:insideV w:val="single" w:color="80808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1568" w:type="dxa"/>
            <w:shd w:val="clear" w:color="auto" w:fill="F5F5F5"/>
            <w:vAlign w:val="top"/>
          </w:tcPr>
          <w:p>
            <w:pPr>
              <w:spacing w:line="292" w:lineRule="auto"/>
              <w:jc w:val="both"/>
              <w:rPr>
                <w:rFonts w:hint="default" w:ascii="Times New Roman" w:hAnsi="Times New Roman" w:eastAsia="华文楷体" w:cs="Times New Roman"/>
                <w:sz w:val="21"/>
              </w:rPr>
            </w:pPr>
          </w:p>
          <w:p>
            <w:pPr>
              <w:spacing w:before="80" w:line="207" w:lineRule="auto"/>
              <w:ind w:left="353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pacing w:val="-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实践模块</w:t>
            </w:r>
          </w:p>
        </w:tc>
        <w:tc>
          <w:tcPr>
            <w:tcW w:w="1274" w:type="dxa"/>
            <w:shd w:val="clear" w:color="auto" w:fill="F5F5F5"/>
            <w:vAlign w:val="top"/>
          </w:tcPr>
          <w:p>
            <w:pPr>
              <w:spacing w:line="329" w:lineRule="auto"/>
              <w:jc w:val="both"/>
              <w:rPr>
                <w:rFonts w:hint="default" w:ascii="Times New Roman" w:hAnsi="Times New Roman" w:eastAsia="华文楷体" w:cs="Times New Roman"/>
                <w:sz w:val="21"/>
              </w:rPr>
            </w:pPr>
          </w:p>
          <w:p>
            <w:pPr>
              <w:spacing w:before="80" w:line="175" w:lineRule="auto"/>
              <w:ind w:left="230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华文楷体" w:cs="Times New Roman"/>
                <w:spacing w:val="-1"/>
                <w:sz w:val="22"/>
                <w:szCs w:val="22"/>
                <w:lang w:eastAsia="zh-CN"/>
              </w:rPr>
              <w:t>GCD</w:t>
            </w:r>
            <w:r>
              <w:rPr>
                <w:rFonts w:hint="default" w:ascii="Times New Roman" w:hAnsi="Times New Roman" w:eastAsia="华文楷体" w:cs="Times New Roman"/>
                <w:spacing w:val="-2"/>
                <w:sz w:val="22"/>
                <w:szCs w:val="22"/>
              </w:rPr>
              <w:t>-40</w:t>
            </w:r>
            <w:r>
              <w:rPr>
                <w:rFonts w:hint="default" w:ascii="Times New Roman" w:hAnsi="Times New Roman" w:eastAsia="华文楷体" w:cs="Times New Roman"/>
                <w:spacing w:val="-1"/>
                <w:sz w:val="22"/>
                <w:szCs w:val="22"/>
              </w:rPr>
              <w:t>1</w:t>
            </w:r>
          </w:p>
        </w:tc>
        <w:tc>
          <w:tcPr>
            <w:tcW w:w="3755" w:type="dxa"/>
            <w:shd w:val="clear" w:color="auto" w:fill="F5F5F5"/>
            <w:vAlign w:val="top"/>
          </w:tcPr>
          <w:p>
            <w:pPr>
              <w:spacing w:before="55"/>
              <w:ind w:left="1772" w:right="169" w:hanging="1588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pacing w:val="-1"/>
                <w:sz w:val="22"/>
                <w:szCs w:val="22"/>
              </w:rPr>
              <w:t>9项国内外实践活</w:t>
            </w:r>
            <w:r>
              <w:rPr>
                <w:rFonts w:hint="default" w:ascii="Times New Roman" w:hAnsi="Times New Roman" w:eastAsia="华文楷体" w:cs="Times New Roman"/>
                <w:sz w:val="22"/>
                <w:szCs w:val="22"/>
              </w:rPr>
              <w:t>动，活动详细方案 与</w:t>
            </w:r>
          </w:p>
          <w:p>
            <w:pPr>
              <w:spacing w:line="205" w:lineRule="auto"/>
              <w:ind w:left="1115" w:firstLine="208" w:firstLineChars="100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pacing w:val="-6"/>
                <w:sz w:val="22"/>
                <w:szCs w:val="22"/>
              </w:rPr>
              <w:t>有</w:t>
            </w:r>
            <w:r>
              <w:rPr>
                <w:rFonts w:hint="default" w:ascii="Times New Roman" w:hAnsi="Times New Roman" w:eastAsia="华文楷体" w:cs="Times New Roman"/>
                <w:spacing w:val="-5"/>
                <w:sz w:val="22"/>
                <w:szCs w:val="22"/>
              </w:rPr>
              <w:t>关</w:t>
            </w:r>
            <w:r>
              <w:rPr>
                <w:rFonts w:hint="default" w:ascii="Times New Roman" w:hAnsi="Times New Roman" w:eastAsia="华文楷体" w:cs="Times New Roman"/>
                <w:spacing w:val="-3"/>
                <w:sz w:val="22"/>
                <w:szCs w:val="22"/>
              </w:rPr>
              <w:t>高校确定。</w:t>
            </w:r>
          </w:p>
        </w:tc>
        <w:tc>
          <w:tcPr>
            <w:tcW w:w="727" w:type="dxa"/>
            <w:shd w:val="clear" w:color="auto" w:fill="F5F5F5"/>
            <w:vAlign w:val="top"/>
          </w:tcPr>
          <w:p>
            <w:pPr>
              <w:jc w:val="both"/>
              <w:rPr>
                <w:rFonts w:hint="default" w:ascii="Times New Roman" w:hAnsi="Times New Roman" w:eastAsia="华文楷体" w:cs="Times New Roman"/>
                <w:sz w:val="21"/>
              </w:rPr>
            </w:pPr>
          </w:p>
        </w:tc>
        <w:tc>
          <w:tcPr>
            <w:tcW w:w="667" w:type="dxa"/>
            <w:shd w:val="clear" w:color="auto" w:fill="F5F5F5"/>
            <w:vAlign w:val="top"/>
          </w:tcPr>
          <w:p>
            <w:pPr>
              <w:spacing w:line="329" w:lineRule="auto"/>
              <w:jc w:val="both"/>
              <w:rPr>
                <w:rFonts w:hint="default" w:ascii="Times New Roman" w:hAnsi="Times New Roman" w:eastAsia="华文楷体" w:cs="Times New Roman"/>
                <w:sz w:val="21"/>
              </w:rPr>
            </w:pPr>
          </w:p>
          <w:p>
            <w:pPr>
              <w:spacing w:before="80" w:line="175" w:lineRule="auto"/>
              <w:ind w:left="299"/>
              <w:jc w:val="both"/>
              <w:rPr>
                <w:rFonts w:hint="default" w:ascii="Times New Roman" w:hAnsi="Times New Roman" w:eastAsia="华文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华文楷体" w:cs="Times New Roman"/>
                <w:sz w:val="22"/>
                <w:szCs w:val="22"/>
              </w:rPr>
              <w:t>1</w:t>
            </w:r>
          </w:p>
        </w:tc>
        <w:tc>
          <w:tcPr>
            <w:tcW w:w="693" w:type="dxa"/>
            <w:shd w:val="clear" w:color="auto" w:fill="F5F5F5"/>
            <w:vAlign w:val="top"/>
          </w:tcPr>
          <w:p>
            <w:pPr>
              <w:jc w:val="both"/>
              <w:rPr>
                <w:rFonts w:hint="default" w:ascii="Times New Roman" w:hAnsi="Times New Roman" w:eastAsia="华文楷体" w:cs="Times New Roman"/>
                <w:sz w:val="21"/>
              </w:rPr>
            </w:pPr>
          </w:p>
        </w:tc>
      </w:tr>
    </w:tbl>
    <w:p>
      <w:pPr>
        <w:spacing w:before="192" w:line="268" w:lineRule="auto"/>
        <w:ind w:right="99"/>
        <w:jc w:val="both"/>
        <w:rPr>
          <w:rFonts w:hint="default" w:ascii="Times New Roman" w:hAnsi="Times New Roman" w:eastAsia="华文楷体" w:cs="Times New Roman"/>
          <w:spacing w:val="6"/>
          <w:sz w:val="23"/>
          <w:szCs w:val="23"/>
          <w:lang w:eastAsia="zh-CN"/>
        </w:rPr>
      </w:pPr>
      <w:r>
        <w:rPr>
          <w:rFonts w:hint="default" w:ascii="Times New Roman" w:hAnsi="Times New Roman" w:eastAsia="华文楷体" w:cs="Times New Roman"/>
          <w:spacing w:val="6"/>
          <w:sz w:val="23"/>
          <w:szCs w:val="23"/>
          <w:lang w:eastAsia="zh-CN"/>
        </w:rPr>
        <w:t>注：20</w:t>
      </w:r>
      <w:r>
        <w:rPr>
          <w:rFonts w:hint="default" w:ascii="Times New Roman" w:hAnsi="Times New Roman" w:eastAsia="华文楷体" w:cs="Times New Roman"/>
          <w:spacing w:val="6"/>
          <w:sz w:val="23"/>
          <w:szCs w:val="23"/>
          <w:lang w:val="en-US" w:eastAsia="zh-CN"/>
        </w:rPr>
        <w:t>24</w:t>
      </w:r>
      <w:r>
        <w:rPr>
          <w:rFonts w:hint="default" w:ascii="Times New Roman" w:hAnsi="Times New Roman" w:eastAsia="华文楷体" w:cs="Times New Roman"/>
          <w:spacing w:val="6"/>
          <w:sz w:val="23"/>
          <w:szCs w:val="23"/>
          <w:lang w:eastAsia="zh-CN"/>
        </w:rPr>
        <w:t>年</w:t>
      </w:r>
      <w:r>
        <w:rPr>
          <w:rFonts w:hint="default" w:ascii="Times New Roman" w:hAnsi="Times New Roman" w:eastAsia="华文楷体" w:cs="Times New Roman"/>
          <w:spacing w:val="6"/>
          <w:sz w:val="23"/>
          <w:szCs w:val="23"/>
          <w:lang w:val="en-US" w:eastAsia="zh-CN"/>
        </w:rPr>
        <w:t>春季学期将</w:t>
      </w:r>
      <w:r>
        <w:rPr>
          <w:rFonts w:hint="default" w:ascii="Times New Roman" w:hAnsi="Times New Roman" w:eastAsia="华文楷体" w:cs="Times New Roman"/>
          <w:spacing w:val="6"/>
          <w:sz w:val="23"/>
          <w:szCs w:val="23"/>
          <w:lang w:eastAsia="zh-CN"/>
        </w:rPr>
        <w:t>开展</w:t>
      </w:r>
      <w:r>
        <w:rPr>
          <w:rFonts w:hint="default" w:ascii="Times New Roman" w:hAnsi="Times New Roman" w:eastAsia="华文楷体" w:cs="Times New Roman"/>
          <w:spacing w:val="6"/>
          <w:sz w:val="23"/>
          <w:szCs w:val="23"/>
          <w:lang w:val="en-US" w:eastAsia="zh-CN"/>
        </w:rPr>
        <w:t>4</w:t>
      </w:r>
      <w:r>
        <w:rPr>
          <w:rFonts w:hint="default" w:ascii="Times New Roman" w:hAnsi="Times New Roman" w:eastAsia="华文楷体" w:cs="Times New Roman"/>
          <w:spacing w:val="6"/>
          <w:sz w:val="23"/>
          <w:szCs w:val="23"/>
          <w:lang w:eastAsia="zh-CN"/>
        </w:rPr>
        <w:t>场专题讲座①，</w:t>
      </w:r>
      <w:r>
        <w:rPr>
          <w:rFonts w:hint="default" w:ascii="Times New Roman" w:hAnsi="Times New Roman" w:eastAsia="华文楷体" w:cs="Times New Roman"/>
          <w:spacing w:val="6"/>
          <w:sz w:val="23"/>
          <w:szCs w:val="23"/>
          <w:lang w:val="en-US" w:eastAsia="zh-CN"/>
        </w:rPr>
        <w:t>推出</w:t>
      </w:r>
      <w:r>
        <w:rPr>
          <w:rFonts w:hint="eastAsia" w:ascii="Times New Roman" w:hAnsi="Times New Roman" w:eastAsia="华文楷体" w:cs="Times New Roman"/>
          <w:spacing w:val="6"/>
          <w:sz w:val="23"/>
          <w:szCs w:val="23"/>
          <w:lang w:val="en-US" w:eastAsia="zh-CN"/>
        </w:rPr>
        <w:t>6</w:t>
      </w:r>
      <w:r>
        <w:rPr>
          <w:rFonts w:hint="default" w:ascii="Times New Roman" w:hAnsi="Times New Roman" w:eastAsia="华文楷体" w:cs="Times New Roman"/>
          <w:spacing w:val="6"/>
          <w:sz w:val="23"/>
          <w:szCs w:val="23"/>
          <w:lang w:val="en-US" w:eastAsia="zh-CN"/>
        </w:rPr>
        <w:t>个</w:t>
      </w:r>
      <w:r>
        <w:rPr>
          <w:rFonts w:hint="default" w:ascii="Times New Roman" w:hAnsi="Times New Roman" w:eastAsia="华文楷体" w:cs="Times New Roman"/>
          <w:spacing w:val="6"/>
          <w:sz w:val="23"/>
          <w:szCs w:val="23"/>
          <w:lang w:eastAsia="zh-CN"/>
        </w:rPr>
        <w:t>工作坊</w:t>
      </w:r>
      <w:r>
        <w:rPr>
          <w:rFonts w:hint="default" w:ascii="Times New Roman" w:hAnsi="Times New Roman" w:eastAsia="华文楷体" w:cs="Times New Roman"/>
          <w:spacing w:val="6"/>
          <w:sz w:val="23"/>
          <w:szCs w:val="23"/>
          <w:lang w:val="en-US" w:eastAsia="zh-CN"/>
        </w:rPr>
        <w:t>主题</w:t>
      </w:r>
      <w:r>
        <w:rPr>
          <w:rFonts w:hint="default" w:ascii="Times New Roman" w:hAnsi="Times New Roman" w:eastAsia="华文楷体" w:cs="Times New Roman"/>
          <w:spacing w:val="6"/>
          <w:sz w:val="23"/>
          <w:szCs w:val="23"/>
          <w:lang w:eastAsia="zh-CN"/>
        </w:rPr>
        <w:t>②。</w:t>
      </w:r>
    </w:p>
    <w:p>
      <w:pPr>
        <w:spacing w:before="192" w:line="268" w:lineRule="auto"/>
        <w:ind w:right="99" w:firstLine="484" w:firstLineChars="200"/>
        <w:jc w:val="both"/>
        <w:rPr>
          <w:rFonts w:hint="default" w:ascii="Times New Roman" w:hAnsi="Times New Roman" w:eastAsia="华文楷体" w:cs="Times New Roman"/>
          <w:spacing w:val="6"/>
          <w:sz w:val="23"/>
          <w:szCs w:val="23"/>
          <w:lang w:val="en-US" w:eastAsia="zh-CN"/>
        </w:rPr>
      </w:pPr>
      <w:r>
        <w:rPr>
          <w:rFonts w:hint="default" w:ascii="Times New Roman" w:hAnsi="Times New Roman" w:eastAsia="华文楷体" w:cs="Times New Roman"/>
          <w:spacing w:val="6"/>
          <w:sz w:val="23"/>
          <w:szCs w:val="23"/>
        </w:rPr>
        <w:t>①讲座题目</w:t>
      </w:r>
      <w:r>
        <w:rPr>
          <w:rFonts w:hint="default" w:ascii="Times New Roman" w:hAnsi="Times New Roman" w:eastAsia="华文楷体" w:cs="Times New Roman"/>
          <w:spacing w:val="6"/>
          <w:sz w:val="23"/>
          <w:szCs w:val="23"/>
          <w:lang w:eastAsia="zh-CN"/>
        </w:rPr>
        <w:t>（</w:t>
      </w:r>
      <w:r>
        <w:rPr>
          <w:rFonts w:hint="default" w:ascii="Times New Roman" w:hAnsi="Times New Roman" w:eastAsia="华文楷体" w:cs="Times New Roman"/>
          <w:spacing w:val="6"/>
          <w:sz w:val="23"/>
          <w:szCs w:val="23"/>
          <w:lang w:val="en-US" w:eastAsia="zh-CN"/>
        </w:rPr>
        <w:t>拟定</w:t>
      </w:r>
      <w:r>
        <w:rPr>
          <w:rFonts w:hint="default" w:ascii="Times New Roman" w:hAnsi="Times New Roman" w:eastAsia="华文楷体" w:cs="Times New Roman"/>
          <w:spacing w:val="6"/>
          <w:sz w:val="23"/>
          <w:szCs w:val="23"/>
          <w:lang w:eastAsia="zh-CN"/>
        </w:rPr>
        <w:t>）</w:t>
      </w:r>
      <w:r>
        <w:rPr>
          <w:rFonts w:hint="default" w:ascii="Times New Roman" w:hAnsi="Times New Roman" w:eastAsia="华文楷体" w:cs="Times New Roman"/>
          <w:spacing w:val="6"/>
          <w:sz w:val="23"/>
          <w:szCs w:val="23"/>
        </w:rPr>
        <w:t>：国际理解与跨文化沟通相关主题（标题待定）、</w:t>
      </w:r>
      <w:r>
        <w:rPr>
          <w:rFonts w:hint="eastAsia" w:ascii="Times New Roman" w:hAnsi="Times New Roman" w:eastAsia="华文楷体" w:cs="Times New Roman"/>
          <w:spacing w:val="6"/>
          <w:sz w:val="23"/>
          <w:szCs w:val="23"/>
          <w:lang w:eastAsia="zh-CN"/>
        </w:rPr>
        <w:t>《逐梦太空与伟大航天精神》、当代中国与国际理解相关主题（标题待定）</w:t>
      </w:r>
      <w:r>
        <w:rPr>
          <w:rFonts w:hint="default" w:ascii="Times New Roman" w:hAnsi="Times New Roman" w:eastAsia="华文楷体" w:cs="Times New Roman"/>
          <w:spacing w:val="6"/>
          <w:sz w:val="23"/>
          <w:szCs w:val="23"/>
        </w:rPr>
        <w:t>和当代中</w:t>
      </w:r>
      <w:bookmarkStart w:id="0" w:name="_GoBack"/>
      <w:bookmarkEnd w:id="0"/>
      <w:r>
        <w:rPr>
          <w:rFonts w:hint="default" w:ascii="Times New Roman" w:hAnsi="Times New Roman" w:eastAsia="华文楷体" w:cs="Times New Roman"/>
          <w:spacing w:val="6"/>
          <w:sz w:val="23"/>
          <w:szCs w:val="23"/>
        </w:rPr>
        <w:t>国与国际理解相关主题（标题待定）</w:t>
      </w:r>
      <w:r>
        <w:rPr>
          <w:rFonts w:hint="default" w:ascii="Times New Roman" w:hAnsi="Times New Roman" w:eastAsia="华文楷体" w:cs="Times New Roman"/>
          <w:spacing w:val="6"/>
          <w:sz w:val="23"/>
          <w:szCs w:val="23"/>
          <w:lang w:eastAsia="zh-CN"/>
        </w:rPr>
        <w:t>。</w:t>
      </w:r>
    </w:p>
    <w:p>
      <w:pPr>
        <w:spacing w:before="192" w:line="268" w:lineRule="auto"/>
        <w:ind w:right="99" w:firstLine="484" w:firstLineChars="200"/>
        <w:jc w:val="both"/>
        <w:rPr>
          <w:rFonts w:hint="default" w:ascii="Times New Roman" w:hAnsi="Times New Roman" w:eastAsia="华文楷体" w:cs="Times New Roman"/>
          <w:spacing w:val="-1"/>
          <w:sz w:val="24"/>
          <w:szCs w:val="24"/>
        </w:rPr>
      </w:pPr>
      <w:r>
        <w:rPr>
          <w:rFonts w:hint="default" w:ascii="Times New Roman" w:hAnsi="Times New Roman" w:eastAsia="华文楷体" w:cs="Times New Roman"/>
          <w:spacing w:val="6"/>
          <w:sz w:val="23"/>
          <w:szCs w:val="23"/>
        </w:rPr>
        <w:t>②工作坊主题：敲开世界之门-- 国际组织工作心路历程</w:t>
      </w:r>
      <w:r>
        <w:rPr>
          <w:rFonts w:hint="eastAsia" w:ascii="Times New Roman" w:hAnsi="Times New Roman" w:eastAsia="华文楷体" w:cs="Times New Roman"/>
          <w:spacing w:val="6"/>
          <w:sz w:val="23"/>
          <w:szCs w:val="23"/>
          <w:lang w:eastAsia="zh-CN"/>
        </w:rPr>
        <w:t>、模拟联合国-- 全球气候治理圆桌会、碳中和与我们的</w:t>
      </w:r>
      <w:r>
        <w:rPr>
          <w:rFonts w:hint="eastAsia" w:ascii="Times New Roman" w:hAnsi="Times New Roman" w:eastAsia="华文楷体" w:cs="Times New Roman"/>
          <w:spacing w:val="6"/>
          <w:sz w:val="23"/>
          <w:szCs w:val="23"/>
          <w:lang w:val="en-US" w:eastAsia="zh-CN"/>
        </w:rPr>
        <w:t>未来</w:t>
      </w:r>
      <w:r>
        <w:rPr>
          <w:rFonts w:hint="eastAsia" w:ascii="Times New Roman" w:hAnsi="Times New Roman" w:eastAsia="华文楷体" w:cs="Times New Roman"/>
          <w:spacing w:val="6"/>
          <w:sz w:val="23"/>
          <w:szCs w:val="23"/>
          <w:lang w:eastAsia="zh-CN"/>
        </w:rPr>
        <w:t>-- 我的未来我做主、职业生涯规划与未来发展-- 发现自我 规划未来、全球化背景下的跨文化交际技巧-- 探索文化差异，</w:t>
      </w:r>
      <w:r>
        <w:rPr>
          <w:rFonts w:hint="eastAsia" w:ascii="Times New Roman" w:hAnsi="Times New Roman" w:eastAsia="华文楷体" w:cs="Times New Roman"/>
          <w:spacing w:val="6"/>
          <w:sz w:val="23"/>
          <w:szCs w:val="23"/>
          <w:lang w:val="en-US" w:eastAsia="zh-CN"/>
        </w:rPr>
        <w:t>西方交际礼仪与葡萄酒文化</w:t>
      </w:r>
      <w:r>
        <w:rPr>
          <w:rFonts w:hint="default" w:ascii="Times New Roman" w:hAnsi="Times New Roman" w:eastAsia="华文楷体" w:cs="Times New Roman"/>
          <w:spacing w:val="6"/>
          <w:sz w:val="23"/>
          <w:szCs w:val="23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9" w:line="194" w:lineRule="auto"/>
        <w:ind w:left="10" w:leftChars="5" w:right="34"/>
        <w:jc w:val="both"/>
        <w:textAlignment w:val="baseline"/>
        <w:rPr>
          <w:rFonts w:hint="default" w:ascii="Times New Roman" w:hAnsi="Times New Roman" w:eastAsia="华文楷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华文楷体" w:cs="Times New Roman"/>
          <w:b/>
          <w:bCs/>
          <w:spacing w:val="-19"/>
          <w:sz w:val="28"/>
          <w:szCs w:val="28"/>
          <w:lang w:val="en-US" w:eastAsia="zh-CN"/>
        </w:rPr>
        <w:t>五</w:t>
      </w:r>
      <w:r>
        <w:rPr>
          <w:rFonts w:hint="default" w:ascii="Times New Roman" w:hAnsi="Times New Roman" w:eastAsia="华文楷体" w:cs="Times New Roman"/>
          <w:b/>
          <w:bCs/>
          <w:spacing w:val="-19"/>
          <w:sz w:val="28"/>
          <w:szCs w:val="28"/>
        </w:rPr>
        <w:t>、  考核与证书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1" w:line="207" w:lineRule="auto"/>
        <w:ind w:left="10" w:leftChars="5" w:right="34"/>
        <w:jc w:val="both"/>
        <w:textAlignment w:val="baseline"/>
        <w:rPr>
          <w:rFonts w:hint="default" w:ascii="Times New Roman" w:hAnsi="Times New Roman" w:eastAsia="华文楷体" w:cs="Times New Roman"/>
          <w:sz w:val="24"/>
          <w:szCs w:val="24"/>
        </w:rPr>
      </w:pPr>
      <w:r>
        <w:rPr>
          <w:rFonts w:hint="default" w:ascii="Times New Roman" w:hAnsi="Times New Roman" w:eastAsia="华文楷体" w:cs="Times New Roman"/>
          <w:spacing w:val="-23"/>
          <w:sz w:val="24"/>
          <w:szCs w:val="24"/>
        </w:rPr>
        <w:t>1 、</w:t>
      </w:r>
      <w:r>
        <w:rPr>
          <w:rFonts w:hint="default" w:ascii="Times New Roman" w:hAnsi="Times New Roman" w:eastAsia="华文楷体" w:cs="Times New Roman"/>
          <w:spacing w:val="-23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考核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5" w:line="310" w:lineRule="auto"/>
        <w:ind w:left="10" w:leftChars="5" w:right="34" w:firstLine="563"/>
        <w:jc w:val="both"/>
        <w:textAlignment w:val="baseline"/>
        <w:rPr>
          <w:rFonts w:hint="default" w:ascii="Times New Roman" w:hAnsi="Times New Roman" w:eastAsia="华文楷体" w:cs="Times New Roman"/>
          <w:sz w:val="24"/>
          <w:szCs w:val="24"/>
        </w:rPr>
      </w:pPr>
      <w:r>
        <w:rPr>
          <w:rFonts w:hint="default" w:ascii="Times New Roman" w:hAnsi="Times New Roman" w:eastAsia="华文楷体" w:cs="Times New Roman"/>
          <w:spacing w:val="-1"/>
          <w:sz w:val="24"/>
          <w:szCs w:val="24"/>
        </w:rPr>
        <w:t>课程考核方式主要</w:t>
      </w:r>
      <w:r>
        <w:rPr>
          <w:rFonts w:hint="default" w:ascii="Times New Roman" w:hAnsi="Times New Roman" w:eastAsia="华文楷体" w:cs="Times New Roman"/>
          <w:sz w:val="24"/>
          <w:szCs w:val="24"/>
        </w:rPr>
        <w:t>为学生选读课程的修读课时、作业完成情况、论文撰写</w:t>
      </w:r>
      <w:r>
        <w:rPr>
          <w:rFonts w:hint="default" w:ascii="Times New Roman" w:hAnsi="Times New Roman" w:eastAsia="华文楷体" w:cs="Times New Roman"/>
          <w:spacing w:val="-2"/>
          <w:sz w:val="24"/>
          <w:szCs w:val="24"/>
        </w:rPr>
        <w:t>情况和参与实践活动情况</w:t>
      </w:r>
      <w:r>
        <w:rPr>
          <w:rFonts w:hint="default" w:ascii="Times New Roman" w:hAnsi="Times New Roman" w:eastAsia="华文楷体" w:cs="Times New Roman"/>
          <w:spacing w:val="-1"/>
          <w:sz w:val="24"/>
          <w:szCs w:val="24"/>
        </w:rPr>
        <w:t>。总评 60 分以上为合格。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8" w:lineRule="auto"/>
        <w:ind w:left="10" w:leftChars="5" w:right="34"/>
        <w:jc w:val="both"/>
        <w:textAlignment w:val="baseline"/>
        <w:rPr>
          <w:rFonts w:hint="default" w:ascii="Times New Roman" w:hAnsi="Times New Roman" w:eastAsia="华文楷体" w:cs="Times New Roman"/>
          <w:sz w:val="24"/>
          <w:szCs w:val="24"/>
        </w:rPr>
      </w:pPr>
      <w:r>
        <w:rPr>
          <w:rFonts w:hint="default" w:ascii="Times New Roman" w:hAnsi="Times New Roman" w:eastAsia="华文楷体" w:cs="Times New Roman"/>
          <w:spacing w:val="-21"/>
          <w:sz w:val="24"/>
          <w:szCs w:val="24"/>
        </w:rPr>
        <w:t>2</w:t>
      </w:r>
      <w:r>
        <w:rPr>
          <w:rFonts w:hint="default" w:ascii="Times New Roman" w:hAnsi="Times New Roman" w:eastAsia="华文楷体" w:cs="Times New Roman"/>
          <w:spacing w:val="-19"/>
          <w:sz w:val="24"/>
          <w:szCs w:val="24"/>
        </w:rPr>
        <w:t xml:space="preserve"> 、</w:t>
      </w:r>
      <w:r>
        <w:rPr>
          <w:rFonts w:hint="default" w:ascii="Times New Roman" w:hAnsi="Times New Roman" w:eastAsia="华文楷体" w:cs="Times New Roman"/>
          <w:spacing w:val="-19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证书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4" w:line="312" w:lineRule="auto"/>
        <w:ind w:left="10" w:leftChars="5" w:right="34" w:firstLine="567"/>
        <w:jc w:val="both"/>
        <w:textAlignment w:val="baseline"/>
        <w:rPr>
          <w:rFonts w:hint="default" w:ascii="Times New Roman" w:hAnsi="Times New Roman" w:eastAsia="华文楷体" w:cs="Times New Roman"/>
          <w:spacing w:val="-7"/>
          <w:sz w:val="24"/>
          <w:szCs w:val="24"/>
        </w:rPr>
      </w:pPr>
      <w:r>
        <w:rPr>
          <w:rFonts w:hint="default" w:ascii="Times New Roman" w:hAnsi="Times New Roman" w:eastAsia="华文楷体" w:cs="Times New Roman"/>
          <w:spacing w:val="5"/>
          <w:sz w:val="24"/>
          <w:szCs w:val="24"/>
        </w:rPr>
        <w:t>每模块修读 1 门课程且合格的学生，可获颁项目结业证书(注明所修</w:t>
      </w:r>
      <w:r>
        <w:rPr>
          <w:rFonts w:hint="default" w:ascii="Times New Roman" w:hAnsi="Times New Roman" w:eastAsia="华文楷体" w:cs="Times New Roman"/>
          <w:spacing w:val="1"/>
          <w:sz w:val="24"/>
          <w:szCs w:val="24"/>
        </w:rPr>
        <w:t>课</w:t>
      </w:r>
      <w:r>
        <w:rPr>
          <w:rFonts w:hint="default" w:ascii="Times New Roman" w:hAnsi="Times New Roman" w:eastAsia="华文楷体" w:cs="Times New Roman"/>
          <w:spacing w:val="2"/>
          <w:sz w:val="24"/>
          <w:szCs w:val="24"/>
        </w:rPr>
        <w:t>程)。  参加</w:t>
      </w:r>
      <w:r>
        <w:rPr>
          <w:rFonts w:hint="default" w:ascii="Times New Roman" w:hAnsi="Times New Roman" w:eastAsia="华文楷体" w:cs="Times New Roman"/>
          <w:spacing w:val="1"/>
          <w:sz w:val="24"/>
          <w:szCs w:val="24"/>
        </w:rPr>
        <w:t>实践活动的学生另可获得与有关活动国内外合作机构联合颁发的相</w:t>
      </w:r>
      <w:r>
        <w:rPr>
          <w:rFonts w:hint="default" w:ascii="Times New Roman" w:hAnsi="Times New Roman" w:eastAsia="华文楷体" w:cs="Times New Roman"/>
          <w:spacing w:val="-9"/>
          <w:sz w:val="24"/>
          <w:szCs w:val="24"/>
        </w:rPr>
        <w:t>关</w:t>
      </w:r>
      <w:r>
        <w:rPr>
          <w:rFonts w:hint="default" w:ascii="Times New Roman" w:hAnsi="Times New Roman" w:eastAsia="华文楷体" w:cs="Times New Roman"/>
          <w:spacing w:val="-7"/>
          <w:sz w:val="24"/>
          <w:szCs w:val="24"/>
        </w:rPr>
        <w:t>证书。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4" w:line="312" w:lineRule="auto"/>
        <w:ind w:left="10" w:leftChars="5" w:right="34" w:firstLine="567"/>
        <w:jc w:val="both"/>
        <w:textAlignment w:val="baseline"/>
        <w:rPr>
          <w:rFonts w:hint="default" w:ascii="Times New Roman" w:hAnsi="Times New Roman" w:eastAsia="华文楷体" w:cs="Times New Roman"/>
          <w:spacing w:val="-7"/>
          <w:sz w:val="24"/>
          <w:szCs w:val="2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9" w:line="240" w:lineRule="auto"/>
        <w:ind w:left="10" w:leftChars="5" w:right="34"/>
        <w:jc w:val="both"/>
        <w:textAlignment w:val="baseline"/>
        <w:rPr>
          <w:rFonts w:hint="default" w:ascii="Times New Roman" w:hAnsi="Times New Roman" w:eastAsia="华文楷体" w:cs="Times New Roman"/>
          <w:b/>
          <w:bCs/>
          <w:spacing w:val="-19"/>
          <w:sz w:val="28"/>
          <w:szCs w:val="28"/>
        </w:rPr>
      </w:pPr>
      <w:r>
        <w:rPr>
          <w:rFonts w:hint="eastAsia" w:ascii="Times New Roman" w:hAnsi="Times New Roman" w:eastAsia="华文楷体" w:cs="Times New Roman"/>
          <w:b/>
          <w:bCs/>
          <w:spacing w:val="-19"/>
          <w:sz w:val="28"/>
          <w:szCs w:val="28"/>
          <w:lang w:val="en-US" w:eastAsia="zh-CN"/>
        </w:rPr>
        <w:t>六</w:t>
      </w:r>
      <w:r>
        <w:rPr>
          <w:rFonts w:hint="default" w:ascii="Times New Roman" w:hAnsi="Times New Roman" w:eastAsia="华文楷体" w:cs="Times New Roman"/>
          <w:b/>
          <w:bCs/>
          <w:spacing w:val="-19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华文楷体" w:cs="Times New Roman"/>
          <w:b/>
          <w:bCs/>
          <w:spacing w:val="-19"/>
          <w:sz w:val="28"/>
          <w:szCs w:val="28"/>
        </w:rPr>
        <w:t>实践活动</w:t>
      </w:r>
    </w:p>
    <w:p>
      <w:pPr>
        <w:spacing w:before="134" w:line="208" w:lineRule="auto"/>
        <w:ind w:firstLine="492" w:firstLineChars="200"/>
        <w:jc w:val="both"/>
        <w:rPr>
          <w:rFonts w:hint="default" w:ascii="Times New Roman" w:hAnsi="Times New Roman" w:eastAsia="华文楷体" w:cs="Times New Roman"/>
          <w:lang w:val="en-US" w:eastAsia="zh-CN"/>
        </w:rPr>
      </w:pPr>
      <w:r>
        <w:rPr>
          <w:rFonts w:hint="default" w:ascii="Times New Roman" w:hAnsi="Times New Roman" w:eastAsia="华文楷体" w:cs="Times New Roman"/>
          <w:spacing w:val="8"/>
          <w:sz w:val="23"/>
          <w:szCs w:val="23"/>
        </w:rPr>
        <w:t>实</w:t>
      </w:r>
      <w:r>
        <w:rPr>
          <w:rFonts w:hint="default" w:ascii="Times New Roman" w:hAnsi="Times New Roman" w:eastAsia="华文楷体" w:cs="Times New Roman"/>
          <w:spacing w:val="7"/>
          <w:sz w:val="23"/>
          <w:szCs w:val="23"/>
        </w:rPr>
        <w:t>践活动是本项目培养方式的有机构成 ，与项目实施学校合作开展。</w:t>
      </w:r>
    </w:p>
    <w:p>
      <w:pPr>
        <w:spacing w:before="192" w:line="268" w:lineRule="auto"/>
        <w:ind w:right="99" w:firstLine="508" w:firstLineChars="200"/>
        <w:jc w:val="both"/>
        <w:rPr>
          <w:rFonts w:hint="default" w:ascii="Times New Roman" w:hAnsi="Times New Roman" w:eastAsia="华文楷体" w:cs="Times New Roman"/>
          <w:sz w:val="23"/>
          <w:szCs w:val="23"/>
        </w:rPr>
      </w:pPr>
      <w:r>
        <w:rPr>
          <w:rFonts w:hint="default" w:ascii="Times New Roman" w:hAnsi="Times New Roman" w:eastAsia="华文楷体" w:cs="Times New Roman"/>
          <w:spacing w:val="12"/>
          <w:sz w:val="23"/>
          <w:szCs w:val="23"/>
        </w:rPr>
        <w:t>项目根据</w:t>
      </w:r>
      <w:r>
        <w:rPr>
          <w:rFonts w:hint="default" w:ascii="Times New Roman" w:hAnsi="Times New Roman" w:eastAsia="华文楷体" w:cs="Times New Roman"/>
          <w:spacing w:val="10"/>
          <w:sz w:val="23"/>
          <w:szCs w:val="23"/>
        </w:rPr>
        <w:t>全</w:t>
      </w:r>
      <w:r>
        <w:rPr>
          <w:rFonts w:hint="default" w:ascii="Times New Roman" w:hAnsi="Times New Roman" w:eastAsia="华文楷体" w:cs="Times New Roman"/>
          <w:spacing w:val="6"/>
          <w:sz w:val="23"/>
          <w:szCs w:val="23"/>
        </w:rPr>
        <w:t>球胜任力培养的需要 ，安排 9 项不同主题的学生短期实践活动，</w:t>
      </w:r>
      <w:r>
        <w:rPr>
          <w:rFonts w:hint="default" w:ascii="Times New Roman" w:hAnsi="Times New Roman" w:eastAsia="华文楷体" w:cs="Times New Roman"/>
          <w:spacing w:val="7"/>
          <w:sz w:val="23"/>
          <w:szCs w:val="23"/>
        </w:rPr>
        <w:t>为学生创造走出校门参与实践和实训的机会，帮助学生在实践活动中提升职业</w:t>
      </w:r>
      <w:r>
        <w:rPr>
          <w:rFonts w:hint="default" w:ascii="Times New Roman" w:hAnsi="Times New Roman" w:eastAsia="华文楷体" w:cs="Times New Roman"/>
          <w:spacing w:val="1"/>
          <w:sz w:val="23"/>
          <w:szCs w:val="23"/>
        </w:rPr>
        <w:t>竞争力，在国际环境中提升全球胜任力 。“工作坊”也是项</w:t>
      </w:r>
      <w:r>
        <w:rPr>
          <w:rFonts w:hint="default" w:ascii="Times New Roman" w:hAnsi="Times New Roman" w:eastAsia="华文楷体" w:cs="Times New Roman"/>
          <w:sz w:val="23"/>
          <w:szCs w:val="23"/>
        </w:rPr>
        <w:t>目实践活动的特色内容。</w:t>
      </w:r>
    </w:p>
    <w:p>
      <w:pPr>
        <w:spacing w:before="70" w:line="264" w:lineRule="auto"/>
        <w:ind w:right="11" w:firstLine="476" w:firstLineChars="200"/>
        <w:jc w:val="both"/>
        <w:rPr>
          <w:rFonts w:hint="default" w:ascii="Times New Roman" w:hAnsi="Times New Roman" w:eastAsia="华文楷体" w:cs="Times New Roman"/>
          <w:sz w:val="23"/>
          <w:szCs w:val="23"/>
        </w:rPr>
      </w:pPr>
      <w:r>
        <w:rPr>
          <w:rFonts w:hint="default" w:ascii="Times New Roman" w:hAnsi="Times New Roman" w:eastAsia="华文楷体" w:cs="Times New Roman"/>
          <w:spacing w:val="4"/>
          <w:sz w:val="23"/>
          <w:szCs w:val="23"/>
        </w:rPr>
        <w:t>依托“新青年全</w:t>
      </w:r>
      <w:r>
        <w:rPr>
          <w:rFonts w:hint="default" w:ascii="Times New Roman" w:hAnsi="Times New Roman" w:eastAsia="华文楷体" w:cs="Times New Roman"/>
          <w:spacing w:val="3"/>
          <w:sz w:val="23"/>
          <w:szCs w:val="23"/>
        </w:rPr>
        <w:t>球</w:t>
      </w:r>
      <w:r>
        <w:rPr>
          <w:rFonts w:hint="default" w:ascii="Times New Roman" w:hAnsi="Times New Roman" w:eastAsia="华文楷体" w:cs="Times New Roman"/>
          <w:spacing w:val="2"/>
          <w:sz w:val="23"/>
          <w:szCs w:val="23"/>
        </w:rPr>
        <w:t>胜任力人才培养基地”，通过学术研讨、专题讲座、职场沙龙、</w:t>
      </w:r>
      <w:r>
        <w:rPr>
          <w:rFonts w:hint="default" w:ascii="Times New Roman" w:hAnsi="Times New Roman" w:eastAsia="华文楷体" w:cs="Times New Roman"/>
          <w:spacing w:val="7"/>
          <w:sz w:val="23"/>
          <w:szCs w:val="23"/>
        </w:rPr>
        <w:t>互动游戏、艺术赏鉴等互动性较强的方式，力求营造多元文化的环境，为学习</w:t>
      </w:r>
      <w:r>
        <w:rPr>
          <w:rFonts w:hint="default" w:ascii="Times New Roman" w:hAnsi="Times New Roman" w:eastAsia="华文楷体" w:cs="Times New Roman"/>
          <w:spacing w:val="3"/>
          <w:sz w:val="23"/>
          <w:szCs w:val="23"/>
        </w:rPr>
        <w:t>者</w:t>
      </w:r>
      <w:r>
        <w:rPr>
          <w:rFonts w:hint="default" w:ascii="Times New Roman" w:hAnsi="Times New Roman" w:eastAsia="华文楷体" w:cs="Times New Roman"/>
          <w:spacing w:val="1"/>
          <w:sz w:val="23"/>
          <w:szCs w:val="23"/>
        </w:rPr>
        <w:t>提供独特的全球胜任力提升训练 。同时，通过本</w:t>
      </w:r>
      <w:r>
        <w:rPr>
          <w:rFonts w:hint="default" w:ascii="Times New Roman" w:hAnsi="Times New Roman" w:eastAsia="华文楷体" w:cs="Times New Roman"/>
          <w:sz w:val="23"/>
          <w:szCs w:val="23"/>
        </w:rPr>
        <w:t xml:space="preserve">项目建立的海外实习实训平台， </w:t>
      </w:r>
      <w:r>
        <w:rPr>
          <w:rFonts w:hint="default" w:ascii="Times New Roman" w:hAnsi="Times New Roman" w:eastAsia="华文楷体" w:cs="Times New Roman"/>
          <w:spacing w:val="7"/>
          <w:sz w:val="23"/>
          <w:szCs w:val="23"/>
        </w:rPr>
        <w:t>实践活动为学习者提供了真实的国际交流情境，在多元文化场景和交流中开拓</w:t>
      </w:r>
      <w:r>
        <w:rPr>
          <w:rFonts w:hint="default" w:ascii="Times New Roman" w:hAnsi="Times New Roman" w:eastAsia="华文楷体" w:cs="Times New Roman"/>
          <w:spacing w:val="3"/>
          <w:sz w:val="23"/>
          <w:szCs w:val="23"/>
        </w:rPr>
        <w:t>国</w:t>
      </w:r>
      <w:r>
        <w:rPr>
          <w:rFonts w:hint="default" w:ascii="Times New Roman" w:hAnsi="Times New Roman" w:eastAsia="华文楷体" w:cs="Times New Roman"/>
          <w:spacing w:val="8"/>
          <w:sz w:val="23"/>
          <w:szCs w:val="23"/>
        </w:rPr>
        <w:t>际</w:t>
      </w:r>
      <w:r>
        <w:rPr>
          <w:rFonts w:hint="default" w:ascii="Times New Roman" w:hAnsi="Times New Roman" w:eastAsia="华文楷体" w:cs="Times New Roman"/>
          <w:spacing w:val="4"/>
          <w:sz w:val="23"/>
          <w:szCs w:val="23"/>
        </w:rPr>
        <w:t>视野 ，提升跨文化沟通能力。</w:t>
      </w:r>
    </w:p>
    <w:p>
      <w:pPr>
        <w:spacing w:before="31" w:line="265" w:lineRule="auto"/>
        <w:ind w:left="21" w:right="83" w:firstLine="486"/>
        <w:jc w:val="both"/>
        <w:rPr>
          <w:rFonts w:hint="default" w:ascii="Times New Roman" w:hAnsi="Times New Roman" w:eastAsia="华文楷体" w:cs="Times New Roman"/>
          <w:sz w:val="23"/>
          <w:szCs w:val="23"/>
        </w:rPr>
      </w:pPr>
      <w:r>
        <w:rPr>
          <w:rFonts w:hint="default" w:ascii="Times New Roman" w:hAnsi="Times New Roman" w:eastAsia="华文楷体" w:cs="Times New Roman"/>
          <w:spacing w:val="16"/>
          <w:sz w:val="23"/>
          <w:szCs w:val="23"/>
        </w:rPr>
        <w:t>实</w:t>
      </w:r>
      <w:r>
        <w:rPr>
          <w:rFonts w:hint="default" w:ascii="Times New Roman" w:hAnsi="Times New Roman" w:eastAsia="华文楷体" w:cs="Times New Roman"/>
          <w:spacing w:val="15"/>
          <w:sz w:val="23"/>
          <w:szCs w:val="23"/>
        </w:rPr>
        <w:t>践</w:t>
      </w:r>
      <w:r>
        <w:rPr>
          <w:rFonts w:hint="default" w:ascii="Times New Roman" w:hAnsi="Times New Roman" w:eastAsia="华文楷体" w:cs="Times New Roman"/>
          <w:spacing w:val="8"/>
          <w:sz w:val="23"/>
          <w:szCs w:val="23"/>
        </w:rPr>
        <w:t>活动的主题包括  (不限于)</w:t>
      </w:r>
      <w:r>
        <w:rPr>
          <w:rFonts w:hint="default" w:ascii="Times New Roman" w:hAnsi="Times New Roman" w:eastAsia="华文楷体" w:cs="Times New Roman"/>
          <w:spacing w:val="8"/>
          <w:sz w:val="23"/>
          <w:szCs w:val="23"/>
          <w:lang w:eastAsia="zh-CN"/>
        </w:rPr>
        <w:t>：</w:t>
      </w:r>
      <w:r>
        <w:rPr>
          <w:rFonts w:hint="default" w:ascii="Times New Roman" w:hAnsi="Times New Roman" w:eastAsia="华文楷体" w:cs="Times New Roman"/>
          <w:spacing w:val="8"/>
          <w:sz w:val="23"/>
          <w:szCs w:val="23"/>
        </w:rPr>
        <w:t>以国际组织与国际机构人才培养为目标的</w:t>
      </w:r>
      <w:r>
        <w:rPr>
          <w:rFonts w:hint="default" w:ascii="Times New Roman" w:hAnsi="Times New Roman" w:eastAsia="华文楷体" w:cs="Times New Roman"/>
          <w:spacing w:val="7"/>
          <w:sz w:val="23"/>
          <w:szCs w:val="23"/>
        </w:rPr>
        <w:t>培训活动和实习推荐；以大型国企和跨国企业实习为主要内容的国际化企业实</w:t>
      </w:r>
      <w:r>
        <w:rPr>
          <w:rFonts w:hint="default" w:ascii="Times New Roman" w:hAnsi="Times New Roman" w:eastAsia="华文楷体" w:cs="Times New Roman"/>
          <w:spacing w:val="4"/>
          <w:sz w:val="23"/>
          <w:szCs w:val="23"/>
        </w:rPr>
        <w:t>训</w:t>
      </w:r>
      <w:r>
        <w:rPr>
          <w:rFonts w:hint="default" w:ascii="Times New Roman" w:hAnsi="Times New Roman" w:eastAsia="华文楷体" w:cs="Times New Roman"/>
          <w:spacing w:val="7"/>
          <w:sz w:val="23"/>
          <w:szCs w:val="23"/>
        </w:rPr>
        <w:t>活动；以国际名校研修为主要内容的国际学术研究能力提升活动；以提升思辨</w:t>
      </w:r>
      <w:r>
        <w:rPr>
          <w:rFonts w:hint="default" w:ascii="Times New Roman" w:hAnsi="Times New Roman" w:eastAsia="华文楷体" w:cs="Times New Roman"/>
          <w:spacing w:val="4"/>
          <w:sz w:val="23"/>
          <w:szCs w:val="23"/>
        </w:rPr>
        <w:t>能</w:t>
      </w:r>
      <w:r>
        <w:rPr>
          <w:rFonts w:hint="default" w:ascii="Times New Roman" w:hAnsi="Times New Roman" w:eastAsia="华文楷体" w:cs="Times New Roman"/>
          <w:spacing w:val="7"/>
          <w:sz w:val="23"/>
          <w:szCs w:val="23"/>
        </w:rPr>
        <w:t>力为主要内容的小型辩论竞赛活动；以开拓国际视野为目的的国际文化体验与</w:t>
      </w:r>
      <w:r>
        <w:rPr>
          <w:rFonts w:hint="default" w:ascii="Times New Roman" w:hAnsi="Times New Roman" w:eastAsia="华文楷体" w:cs="Times New Roman"/>
          <w:spacing w:val="4"/>
          <w:sz w:val="23"/>
          <w:szCs w:val="23"/>
        </w:rPr>
        <w:t>研究活动</w:t>
      </w:r>
      <w:r>
        <w:rPr>
          <w:rFonts w:hint="default" w:ascii="Times New Roman" w:hAnsi="Times New Roman" w:eastAsia="华文楷体" w:cs="Times New Roman"/>
          <w:spacing w:val="4"/>
          <w:sz w:val="23"/>
          <w:szCs w:val="23"/>
          <w:lang w:eastAsia="zh-CN"/>
        </w:rPr>
        <w:t>；</w:t>
      </w:r>
      <w:r>
        <w:rPr>
          <w:rFonts w:hint="default" w:ascii="Times New Roman" w:hAnsi="Times New Roman" w:eastAsia="华文楷体" w:cs="Times New Roman"/>
          <w:spacing w:val="2"/>
          <w:sz w:val="23"/>
          <w:szCs w:val="23"/>
        </w:rPr>
        <w:t>以提升跨文化传播能力为目标的学生研讨活动等。</w:t>
      </w:r>
    </w:p>
    <w:p>
      <w:pPr>
        <w:spacing w:before="117" w:line="209" w:lineRule="auto"/>
        <w:ind w:left="508"/>
        <w:jc w:val="both"/>
        <w:rPr>
          <w:rFonts w:hint="default" w:ascii="Times New Roman" w:hAnsi="Times New Roman" w:eastAsia="华文楷体" w:cs="Times New Roman"/>
          <w:sz w:val="23"/>
          <w:szCs w:val="23"/>
        </w:rPr>
      </w:pPr>
      <w:r>
        <w:rPr>
          <w:rFonts w:hint="default" w:ascii="Times New Roman" w:hAnsi="Times New Roman" w:eastAsia="华文楷体" w:cs="Times New Roman"/>
          <w:spacing w:val="12"/>
          <w:sz w:val="23"/>
          <w:szCs w:val="23"/>
        </w:rPr>
        <w:t>实践</w:t>
      </w:r>
      <w:r>
        <w:rPr>
          <w:rFonts w:hint="default" w:ascii="Times New Roman" w:hAnsi="Times New Roman" w:eastAsia="华文楷体" w:cs="Times New Roman"/>
          <w:spacing w:val="11"/>
          <w:sz w:val="23"/>
          <w:szCs w:val="23"/>
        </w:rPr>
        <w:t>活</w:t>
      </w:r>
      <w:r>
        <w:rPr>
          <w:rFonts w:hint="default" w:ascii="Times New Roman" w:hAnsi="Times New Roman" w:eastAsia="华文楷体" w:cs="Times New Roman"/>
          <w:spacing w:val="6"/>
          <w:sz w:val="23"/>
          <w:szCs w:val="23"/>
        </w:rPr>
        <w:t>动将结合项目实施院系的实际需求，针对不同学生群体进行定制化设</w:t>
      </w:r>
    </w:p>
    <w:p>
      <w:pPr>
        <w:spacing w:before="66" w:line="210" w:lineRule="auto"/>
        <w:ind w:left="23"/>
        <w:jc w:val="both"/>
        <w:rPr>
          <w:rFonts w:hint="default" w:ascii="Times New Roman" w:hAnsi="Times New Roman" w:eastAsia="华文楷体" w:cs="Times New Roman"/>
          <w:spacing w:val="2"/>
          <w:sz w:val="23"/>
          <w:szCs w:val="23"/>
        </w:rPr>
      </w:pPr>
      <w:r>
        <w:rPr>
          <w:rFonts w:hint="default" w:ascii="Times New Roman" w:hAnsi="Times New Roman" w:eastAsia="华文楷体" w:cs="Times New Roman"/>
          <w:spacing w:val="4"/>
          <w:sz w:val="23"/>
          <w:szCs w:val="23"/>
        </w:rPr>
        <w:t>计，</w:t>
      </w:r>
      <w:r>
        <w:rPr>
          <w:rFonts w:hint="default" w:ascii="Times New Roman" w:hAnsi="Times New Roman" w:eastAsia="华文楷体" w:cs="Times New Roman"/>
          <w:spacing w:val="3"/>
          <w:sz w:val="23"/>
          <w:szCs w:val="23"/>
        </w:rPr>
        <w:t>以</w:t>
      </w:r>
      <w:r>
        <w:rPr>
          <w:rFonts w:hint="default" w:ascii="Times New Roman" w:hAnsi="Times New Roman" w:eastAsia="华文楷体" w:cs="Times New Roman"/>
          <w:spacing w:val="2"/>
          <w:sz w:val="23"/>
          <w:szCs w:val="23"/>
        </w:rPr>
        <w:t>最大限度地实现项目实施与学习者需求的有效对接。</w:t>
      </w:r>
    </w:p>
    <w:p>
      <w:pPr>
        <w:spacing w:before="66" w:line="210" w:lineRule="auto"/>
        <w:ind w:left="23"/>
        <w:jc w:val="both"/>
        <w:rPr>
          <w:rFonts w:hint="default" w:ascii="Times New Roman" w:hAnsi="Times New Roman" w:eastAsia="华文楷体" w:cs="Times New Roman"/>
          <w:spacing w:val="2"/>
          <w:sz w:val="23"/>
          <w:szCs w:val="23"/>
        </w:rPr>
      </w:pPr>
    </w:p>
    <w:p>
      <w:pPr>
        <w:spacing w:before="66" w:afterLines="50" w:line="211" w:lineRule="auto"/>
        <w:ind w:left="23"/>
        <w:jc w:val="both"/>
        <w:rPr>
          <w:rFonts w:hint="default" w:ascii="Times New Roman" w:hAnsi="Times New Roman" w:eastAsia="华文楷体" w:cs="Times New Roman"/>
          <w:b/>
          <w:bCs/>
          <w:color w:val="000000" w:themeColor="text1"/>
          <w:spacing w:val="2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华文楷体" w:cs="Times New Roman"/>
          <w:b/>
          <w:bCs/>
          <w:spacing w:val="-21"/>
          <w:sz w:val="28"/>
          <w:szCs w:val="28"/>
        </w:rPr>
        <w:t>20</w:t>
      </w:r>
      <w:r>
        <w:rPr>
          <w:rFonts w:hint="default" w:ascii="Times New Roman" w:hAnsi="Times New Roman" w:eastAsia="华文楷体" w:cs="Times New Roman"/>
          <w:b/>
          <w:bCs/>
          <w:spacing w:val="-21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华文楷体" w:cs="Times New Roman"/>
          <w:b/>
          <w:bCs/>
          <w:spacing w:val="-19"/>
          <w:sz w:val="32"/>
          <w:szCs w:val="32"/>
        </w:rPr>
        <w:t>年</w:t>
      </w:r>
      <w:r>
        <w:rPr>
          <w:rFonts w:hint="default" w:ascii="Times New Roman" w:hAnsi="Times New Roman" w:eastAsia="华文楷体" w:cs="Times New Roman"/>
          <w:b/>
          <w:bCs/>
          <w:spacing w:val="-19"/>
          <w:sz w:val="32"/>
          <w:szCs w:val="32"/>
          <w:lang w:val="en-US" w:eastAsia="zh-CN"/>
        </w:rPr>
        <w:t>暑假</w:t>
      </w:r>
      <w:r>
        <w:rPr>
          <w:rFonts w:hint="default" w:ascii="Times New Roman" w:hAnsi="Times New Roman" w:eastAsia="华文楷体" w:cs="Times New Roman"/>
          <w:b/>
          <w:bCs/>
          <w:spacing w:val="-19"/>
          <w:sz w:val="32"/>
          <w:szCs w:val="32"/>
        </w:rPr>
        <w:t>实践活动一</w:t>
      </w:r>
      <w:r>
        <w:rPr>
          <w:rFonts w:hint="eastAsia" w:ascii="Times New Roman" w:hAnsi="Times New Roman" w:eastAsia="华文楷体" w:cs="Times New Roman"/>
          <w:b/>
          <w:bCs/>
          <w:spacing w:val="-19"/>
          <w:sz w:val="32"/>
          <w:szCs w:val="32"/>
          <w:lang w:val="en-US" w:eastAsia="zh-CN"/>
        </w:rPr>
        <w:t>览表</w:t>
      </w:r>
      <w:r>
        <w:rPr>
          <w:rFonts w:hint="eastAsia" w:ascii="Times New Roman" w:hAnsi="Times New Roman" w:eastAsia="华文楷体" w:cs="Times New Roman"/>
          <w:b/>
          <w:bCs/>
          <w:color w:val="000000" w:themeColor="text1"/>
          <w:spacing w:val="2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5617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164" w:type="dxa"/>
            <w:shd w:val="clear" w:color="auto" w:fill="17365D" w:themeFill="text2" w:themeFillShade="BF"/>
          </w:tcPr>
          <w:p>
            <w:pPr>
              <w:widowControl w:val="0"/>
              <w:spacing w:before="66" w:line="210" w:lineRule="auto"/>
              <w:jc w:val="center"/>
              <w:rPr>
                <w:rFonts w:hint="default" w:ascii="Times New Roman" w:hAnsi="Times New Roman" w:eastAsia="华文宋体" w:cs="Times New Roman"/>
                <w:b/>
                <w:bCs/>
                <w:color w:val="FFFFFF" w:themeColor="background1"/>
                <w:spacing w:val="2"/>
                <w:sz w:val="23"/>
                <w:szCs w:val="23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imes New Roman" w:hAnsi="Times New Roman" w:eastAsia="华文宋体" w:cs="Times New Roman"/>
                <w:b/>
                <w:bCs/>
                <w:color w:val="FFFFFF" w:themeColor="background1"/>
                <w:spacing w:val="2"/>
                <w:sz w:val="23"/>
                <w:szCs w:val="23"/>
                <w14:textFill>
                  <w14:solidFill>
                    <w14:schemeClr w14:val="bg1"/>
                  </w14:solidFill>
                </w14:textFill>
              </w:rPr>
              <w:t>序号</w:t>
            </w:r>
          </w:p>
        </w:tc>
        <w:tc>
          <w:tcPr>
            <w:tcW w:w="5617" w:type="dxa"/>
            <w:shd w:val="clear" w:color="auto" w:fill="17365D" w:themeFill="text2" w:themeFillShade="BF"/>
          </w:tcPr>
          <w:p>
            <w:pPr>
              <w:widowControl w:val="0"/>
              <w:spacing w:before="66" w:line="210" w:lineRule="auto"/>
              <w:jc w:val="center"/>
              <w:rPr>
                <w:rFonts w:hint="default" w:ascii="Times New Roman" w:hAnsi="Times New Roman" w:eastAsia="华文宋体" w:cs="Times New Roman"/>
                <w:b/>
                <w:bCs/>
                <w:color w:val="FFFFFF" w:themeColor="background1"/>
                <w:spacing w:val="2"/>
                <w:sz w:val="23"/>
                <w:szCs w:val="23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imes New Roman" w:hAnsi="Times New Roman" w:eastAsia="华文宋体" w:cs="Times New Roman"/>
                <w:b/>
                <w:bCs/>
                <w:color w:val="FFFFFF" w:themeColor="background1"/>
                <w:spacing w:val="2"/>
                <w:sz w:val="23"/>
                <w:szCs w:val="23"/>
                <w14:textFill>
                  <w14:solidFill>
                    <w14:schemeClr w14:val="bg1"/>
                  </w14:solidFill>
                </w14:textFill>
              </w:rPr>
              <w:t>实践活动</w:t>
            </w:r>
          </w:p>
        </w:tc>
        <w:tc>
          <w:tcPr>
            <w:tcW w:w="1831" w:type="dxa"/>
            <w:shd w:val="clear" w:color="auto" w:fill="17365D" w:themeFill="text2" w:themeFillShade="BF"/>
          </w:tcPr>
          <w:p>
            <w:pPr>
              <w:widowControl w:val="0"/>
              <w:spacing w:before="66" w:line="210" w:lineRule="auto"/>
              <w:jc w:val="center"/>
              <w:rPr>
                <w:rFonts w:hint="default" w:ascii="Times New Roman" w:hAnsi="Times New Roman" w:eastAsia="华文宋体" w:cs="Times New Roman"/>
                <w:b/>
                <w:bCs/>
                <w:color w:val="FFFFFF" w:themeColor="background1"/>
                <w:spacing w:val="2"/>
                <w:sz w:val="23"/>
                <w:szCs w:val="23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imes New Roman" w:hAnsi="Times New Roman" w:eastAsia="华文宋体" w:cs="Times New Roman"/>
                <w:b/>
                <w:bCs/>
                <w:color w:val="FFFFFF" w:themeColor="background1"/>
                <w:spacing w:val="2"/>
                <w:sz w:val="23"/>
                <w:szCs w:val="23"/>
                <w14:textFill>
                  <w14:solidFill>
                    <w14:schemeClr w14:val="bg1"/>
                  </w14:solidFill>
                </w14:textFill>
              </w:rPr>
              <w:t>目的地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</w:tcPr>
          <w:p>
            <w:pPr>
              <w:widowControl w:val="0"/>
              <w:spacing w:before="66" w:line="210" w:lineRule="auto"/>
              <w:jc w:val="center"/>
              <w:rPr>
                <w:rFonts w:hint="default" w:ascii="Times New Roman" w:hAnsi="Times New Roman" w:eastAsia="华文宋体" w:cs="Times New Roman"/>
                <w:color w:val="000000" w:themeColor="text1"/>
                <w:spacing w:val="2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华文宋体" w:cs="Times New Roman"/>
                <w:color w:val="000000" w:themeColor="text1"/>
                <w:spacing w:val="2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17" w:type="dxa"/>
            <w:vAlign w:val="top"/>
          </w:tcPr>
          <w:p>
            <w:pPr>
              <w:widowControl w:val="0"/>
              <w:spacing w:before="66" w:line="210" w:lineRule="auto"/>
              <w:jc w:val="both"/>
              <w:rPr>
                <w:rFonts w:hint="default" w:ascii="Times New Roman" w:hAnsi="Times New Roman" w:eastAsia="华文宋体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华文宋体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国际志愿者实习项目</w:t>
            </w:r>
          </w:p>
        </w:tc>
        <w:tc>
          <w:tcPr>
            <w:tcW w:w="1831" w:type="dxa"/>
          </w:tcPr>
          <w:p>
            <w:pPr>
              <w:widowControl w:val="0"/>
              <w:spacing w:before="66" w:line="210" w:lineRule="auto"/>
              <w:jc w:val="center"/>
              <w:rPr>
                <w:rFonts w:hint="default" w:ascii="Times New Roman" w:hAnsi="Times New Roman" w:eastAsia="华文宋体" w:cs="Times New Roman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华文宋体" w:cs="Times New Roman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</w:tcPr>
          <w:p>
            <w:pPr>
              <w:widowControl w:val="0"/>
              <w:spacing w:before="66" w:line="210" w:lineRule="auto"/>
              <w:jc w:val="center"/>
              <w:rPr>
                <w:rFonts w:hint="eastAsia" w:ascii="Times New Roman" w:hAnsi="Times New Roman" w:eastAsia="华文宋体" w:cs="Times New Roman"/>
                <w:color w:val="000000" w:themeColor="text1"/>
                <w:spacing w:val="2"/>
                <w:sz w:val="23"/>
                <w:szCs w:val="2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宋体" w:cs="Times New Roman"/>
                <w:color w:val="000000" w:themeColor="text1"/>
                <w:spacing w:val="2"/>
                <w:sz w:val="23"/>
                <w:szCs w:val="2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17" w:type="dxa"/>
            <w:vAlign w:val="top"/>
          </w:tcPr>
          <w:p>
            <w:pPr>
              <w:widowControl w:val="0"/>
              <w:spacing w:before="66" w:line="210" w:lineRule="auto"/>
              <w:jc w:val="both"/>
              <w:rPr>
                <w:rFonts w:hint="default" w:ascii="Times New Roman" w:hAnsi="Times New Roman" w:eastAsia="华文宋体" w:cs="Times New Roman"/>
                <w:snapToGrid w:val="0"/>
                <w:color w:val="000000" w:themeColor="text1"/>
                <w:sz w:val="24"/>
                <w:szCs w:val="24"/>
                <w:highlight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华文宋体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新青年师生海外社会调研项目</w:t>
            </w:r>
          </w:p>
        </w:tc>
        <w:tc>
          <w:tcPr>
            <w:tcW w:w="1831" w:type="dxa"/>
            <w:vAlign w:val="top"/>
          </w:tcPr>
          <w:p>
            <w:pPr>
              <w:widowControl w:val="0"/>
              <w:spacing w:before="66" w:line="210" w:lineRule="auto"/>
              <w:jc w:val="center"/>
              <w:rPr>
                <w:rFonts w:hint="default" w:ascii="Times New Roman" w:hAnsi="Times New Roman" w:eastAsia="华文宋体" w:cs="Times New Roman"/>
                <w:snapToGrid w:val="0"/>
                <w:color w:val="000000" w:themeColor="text1"/>
                <w:sz w:val="24"/>
                <w:szCs w:val="24"/>
                <w:highlight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华文宋体" w:cs="Times New Roman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</w:tcPr>
          <w:p>
            <w:pPr>
              <w:widowControl w:val="0"/>
              <w:spacing w:before="66" w:line="210" w:lineRule="auto"/>
              <w:jc w:val="center"/>
              <w:rPr>
                <w:rFonts w:hint="eastAsia" w:ascii="Times New Roman" w:hAnsi="Times New Roman" w:eastAsia="华文宋体" w:cs="Times New Roman"/>
                <w:color w:val="000000" w:themeColor="text1"/>
                <w:spacing w:val="2"/>
                <w:sz w:val="23"/>
                <w:szCs w:val="23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宋体" w:cs="Times New Roman"/>
                <w:color w:val="000000" w:themeColor="text1"/>
                <w:spacing w:val="2"/>
                <w:sz w:val="23"/>
                <w:szCs w:val="2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17" w:type="dxa"/>
          </w:tcPr>
          <w:p>
            <w:pPr>
              <w:widowControl w:val="0"/>
              <w:spacing w:before="66" w:line="210" w:lineRule="auto"/>
              <w:jc w:val="both"/>
              <w:rPr>
                <w:rFonts w:hint="default" w:ascii="Times New Roman" w:hAnsi="Times New Roman" w:eastAsia="华文宋体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华文宋体" w:cs="Times New Roman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联合国驻日内瓦总部实地交流项目</w:t>
            </w:r>
          </w:p>
        </w:tc>
        <w:tc>
          <w:tcPr>
            <w:tcW w:w="1831" w:type="dxa"/>
          </w:tcPr>
          <w:p>
            <w:pPr>
              <w:widowControl w:val="0"/>
              <w:spacing w:before="66" w:line="210" w:lineRule="auto"/>
              <w:jc w:val="center"/>
              <w:rPr>
                <w:rFonts w:hint="default" w:ascii="Times New Roman" w:hAnsi="Times New Roman" w:eastAsia="华文宋体" w:cs="Times New Roman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华文宋体" w:cs="Times New Roman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日内瓦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</w:tcPr>
          <w:p>
            <w:pPr>
              <w:widowControl w:val="0"/>
              <w:spacing w:before="66" w:line="210" w:lineRule="auto"/>
              <w:jc w:val="center"/>
              <w:rPr>
                <w:rFonts w:hint="eastAsia" w:ascii="Times New Roman" w:hAnsi="Times New Roman" w:eastAsia="华文宋体" w:cs="Times New Roman"/>
                <w:color w:val="000000" w:themeColor="text1"/>
                <w:spacing w:val="2"/>
                <w:sz w:val="23"/>
                <w:szCs w:val="23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宋体" w:cs="Times New Roman"/>
                <w:color w:val="000000" w:themeColor="text1"/>
                <w:spacing w:val="2"/>
                <w:sz w:val="23"/>
                <w:szCs w:val="2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17" w:type="dxa"/>
          </w:tcPr>
          <w:p>
            <w:pPr>
              <w:widowControl w:val="0"/>
              <w:spacing w:before="66" w:line="210" w:lineRule="auto"/>
              <w:jc w:val="both"/>
              <w:rPr>
                <w:rFonts w:hint="default" w:ascii="Times New Roman" w:hAnsi="Times New Roman" w:eastAsia="华文宋体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华文宋体" w:cs="Times New Roman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联合国驻维也纳总部实地交流项目</w:t>
            </w:r>
          </w:p>
        </w:tc>
        <w:tc>
          <w:tcPr>
            <w:tcW w:w="1831" w:type="dxa"/>
          </w:tcPr>
          <w:p>
            <w:pPr>
              <w:widowControl w:val="0"/>
              <w:spacing w:before="66" w:line="210" w:lineRule="auto"/>
              <w:jc w:val="center"/>
              <w:rPr>
                <w:rFonts w:hint="default" w:ascii="Times New Roman" w:hAnsi="Times New Roman" w:eastAsia="华文宋体" w:cs="Times New Roman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华文宋体" w:cs="Times New Roman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维也纳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</w:tcPr>
          <w:p>
            <w:pPr>
              <w:widowControl w:val="0"/>
              <w:spacing w:before="66" w:line="210" w:lineRule="auto"/>
              <w:jc w:val="center"/>
              <w:rPr>
                <w:rFonts w:hint="default" w:ascii="Times New Roman" w:hAnsi="Times New Roman" w:eastAsia="华文宋体" w:cs="Times New Roman"/>
                <w:color w:val="000000" w:themeColor="text1"/>
                <w:spacing w:val="2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华文宋体" w:cs="Times New Roman"/>
                <w:color w:val="000000" w:themeColor="text1"/>
                <w:spacing w:val="2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617" w:type="dxa"/>
          </w:tcPr>
          <w:p>
            <w:pPr>
              <w:widowControl w:val="0"/>
              <w:spacing w:before="66" w:line="210" w:lineRule="auto"/>
              <w:jc w:val="both"/>
              <w:rPr>
                <w:rFonts w:hint="default" w:ascii="Times New Roman" w:hAnsi="Times New Roman" w:eastAsia="华文宋体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华文宋体" w:cs="Times New Roman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联合国驻亚太总部实地交流项目</w:t>
            </w:r>
          </w:p>
        </w:tc>
        <w:tc>
          <w:tcPr>
            <w:tcW w:w="1831" w:type="dxa"/>
          </w:tcPr>
          <w:p>
            <w:pPr>
              <w:widowControl w:val="0"/>
              <w:spacing w:before="66" w:line="210" w:lineRule="auto"/>
              <w:jc w:val="center"/>
              <w:rPr>
                <w:rFonts w:hint="default" w:ascii="Times New Roman" w:hAnsi="Times New Roman" w:eastAsia="华文宋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华文宋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泰国</w:t>
            </w: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</w:p>
    <w:sectPr>
      <w:headerReference r:id="rId5" w:type="default"/>
      <w:footerReference r:id="rId6" w:type="default"/>
      <w:pgSz w:w="11900" w:h="16840"/>
      <w:pgMar w:top="1431" w:right="1717" w:bottom="0" w:left="1785" w:header="1134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303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5" name="文本框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+k1gw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+k1gw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303"/>
      <w:rPr>
        <w:rFonts w:ascii="Calibri" w:hAnsi="Calibri" w:eastAsia="Calibri" w:cs="Calibri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1"/>
        <w:left w:val="none" w:color="auto" w:sz="0" w:space="4"/>
        <w:bottom w:val="single" w:color="C00000" w:sz="4" w:space="1"/>
        <w:right w:val="none" w:color="auto" w:sz="0" w:space="4"/>
        <w:between w:val="none" w:color="auto" w:sz="0" w:space="0"/>
      </w:pBdr>
      <w:kinsoku w:val="0"/>
      <w:wordWrap/>
      <w:overflowPunct/>
      <w:topLinePunct w:val="0"/>
      <w:autoSpaceDE w:val="0"/>
      <w:autoSpaceDN w:val="0"/>
      <w:bidi w:val="0"/>
      <w:adjustRightInd w:val="0"/>
      <w:snapToGrid w:val="0"/>
      <w:spacing w:line="240" w:lineRule="auto"/>
      <w:jc w:val="right"/>
      <w:textAlignment w:val="center"/>
    </w:pPr>
    <w:r>
      <w:rPr>
        <w:rFonts w:hint="default" w:ascii="Times New Roman Regular" w:hAnsi="Times New Roman Regular" w:eastAsia="仿宋" w:cs="Times New Roman Regular"/>
        <w:b w:val="0"/>
        <w:bCs w:val="0"/>
        <w:color w:val="000000"/>
        <w:kern w:val="0"/>
        <w:sz w:val="21"/>
        <w:szCs w:val="21"/>
        <w:lang w:eastAsia="zh-CN" w:bidi="ar"/>
      </w:rPr>
      <w:t>《</w:t>
    </w:r>
    <w:r>
      <w:rPr>
        <w:rFonts w:hint="default" w:ascii="Times New Roman Regular" w:hAnsi="Times New Roman Regular" w:eastAsia="仿宋" w:cs="Times New Roman Regular"/>
        <w:b w:val="0"/>
        <w:bCs w:val="0"/>
        <w:color w:val="000000"/>
        <w:kern w:val="0"/>
        <w:sz w:val="21"/>
        <w:szCs w:val="21"/>
        <w:lang w:val="en-US" w:eastAsia="zh-CN" w:bidi="ar"/>
      </w:rPr>
      <w:t>新青年全球胜任力</w:t>
    </w:r>
    <w:r>
      <w:rPr>
        <w:rFonts w:hint="default" w:ascii="Times New Roman Regular" w:hAnsi="Times New Roman Regular" w:eastAsia="仿宋" w:cs="Times New Roman Regular"/>
        <w:b w:val="0"/>
        <w:bCs w:val="0"/>
        <w:color w:val="000000"/>
        <w:kern w:val="0"/>
        <w:sz w:val="21"/>
        <w:szCs w:val="21"/>
        <w:lang w:eastAsia="zh-CN" w:bidi="ar"/>
      </w:rPr>
      <w:t>人才</w:t>
    </w:r>
    <w:r>
      <w:rPr>
        <w:rFonts w:hint="eastAsia" w:ascii="Times New Roman Regular" w:hAnsi="Times New Roman Regular" w:eastAsia="仿宋" w:cs="Times New Roman Regular"/>
        <w:b w:val="0"/>
        <w:bCs w:val="0"/>
        <w:color w:val="000000"/>
        <w:kern w:val="0"/>
        <w:sz w:val="21"/>
        <w:szCs w:val="21"/>
        <w:lang w:eastAsia="zh-CN" w:bidi="ar"/>
      </w:rPr>
      <w:t>培养计划</w:t>
    </w:r>
    <w:r>
      <w:rPr>
        <w:rFonts w:hint="default" w:ascii="Times New Roman Regular" w:hAnsi="Times New Roman Regular" w:eastAsia="仿宋" w:cs="Times New Roman Regular"/>
        <w:b w:val="0"/>
        <w:bCs w:val="0"/>
        <w:color w:val="000000"/>
        <w:kern w:val="0"/>
        <w:sz w:val="21"/>
        <w:szCs w:val="21"/>
        <w:lang w:eastAsia="zh-CN" w:bidi="ar"/>
      </w:rPr>
      <w:t>》</w:t>
    </w:r>
    <w:r>
      <w:rPr>
        <w:rFonts w:hint="eastAsia" w:ascii="Times New Roman Regular" w:hAnsi="Times New Roman Regular" w:eastAsia="仿宋" w:cs="Times New Roman Regular"/>
        <w:b w:val="0"/>
        <w:bCs w:val="0"/>
        <w:color w:val="000000"/>
        <w:kern w:val="0"/>
        <w:sz w:val="21"/>
        <w:szCs w:val="21"/>
        <w:lang w:val="en-US" w:eastAsia="zh-CN" w:bidi="ar"/>
      </w:rPr>
      <w:t>培养方案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1"/>
        <w:left w:val="none" w:color="auto" w:sz="0" w:space="4"/>
        <w:bottom w:val="single" w:color="C00000" w:sz="6" w:space="1"/>
        <w:right w:val="none" w:color="auto" w:sz="0" w:space="4"/>
        <w:between w:val="none" w:color="auto" w:sz="0" w:space="0"/>
      </w:pBdr>
      <w:kinsoku w:val="0"/>
      <w:autoSpaceDE w:val="0"/>
      <w:autoSpaceDN w:val="0"/>
      <w:adjustRightInd w:val="0"/>
      <w:snapToGrid w:val="0"/>
      <w:jc w:val="right"/>
      <w:textAlignment w:val="baseline"/>
      <w:rPr>
        <w:rFonts w:hint="default" w:eastAsia="宋体"/>
        <w:color w:val="C00000"/>
        <w:lang w:val="en-US" w:eastAsia="zh-CN"/>
      </w:rPr>
    </w:pPr>
    <w:r>
      <w:rPr>
        <w:rFonts w:hint="eastAsia" w:eastAsia="宋体"/>
        <w:color w:val="000000" w:themeColor="text1"/>
        <w:lang w:eastAsia="zh-CN"/>
        <w14:textFill>
          <w14:solidFill>
            <w14:schemeClr w14:val="tx1"/>
          </w14:solidFill>
        </w14:textFill>
      </w:rPr>
      <w:t>“</w:t>
    </w:r>
    <w:r>
      <w:rPr>
        <w:rFonts w:hint="eastAsia" w:eastAsia="宋体"/>
        <w:color w:val="000000" w:themeColor="text1"/>
        <w:lang w:val="en-US" w:eastAsia="zh-CN"/>
        <w14:textFill>
          <w14:solidFill>
            <w14:schemeClr w14:val="tx1"/>
          </w14:solidFill>
        </w14:textFill>
      </w:rPr>
      <w:t>新青年全球胜任力人才培养计划</w:t>
    </w:r>
    <w:r>
      <w:rPr>
        <w:rFonts w:hint="eastAsia" w:eastAsia="宋体"/>
        <w:color w:val="000000" w:themeColor="text1"/>
        <w:lang w:eastAsia="zh-CN"/>
        <w14:textFill>
          <w14:solidFill>
            <w14:schemeClr w14:val="tx1"/>
          </w14:solidFill>
        </w14:textFill>
      </w:rPr>
      <w:t>”</w:t>
    </w:r>
    <w:r>
      <w:rPr>
        <w:rFonts w:hint="eastAsia" w:eastAsia="宋体"/>
        <w:color w:val="000000" w:themeColor="text1"/>
        <w:lang w:val="en-US" w:eastAsia="zh-CN"/>
        <w14:textFill>
          <w14:solidFill>
            <w14:schemeClr w14:val="tx1"/>
          </w14:solidFill>
        </w14:textFill>
      </w:rPr>
      <w:t>培养方案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405DAE"/>
    <w:multiLevelType w:val="singleLevel"/>
    <w:tmpl w:val="6F405DAE"/>
    <w:lvl w:ilvl="0" w:tentative="0">
      <w:start w:val="4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MmU0OWVmYjY5ZmJlZGRhMzJmMjcyOWFmNmYyMTUifQ=="/>
  </w:docVars>
  <w:rsids>
    <w:rsidRoot w:val="001723DC"/>
    <w:rsid w:val="00003F69"/>
    <w:rsid w:val="0005053E"/>
    <w:rsid w:val="00094223"/>
    <w:rsid w:val="001723DC"/>
    <w:rsid w:val="0035110B"/>
    <w:rsid w:val="0069744B"/>
    <w:rsid w:val="00AE4E5E"/>
    <w:rsid w:val="00BA2EAA"/>
    <w:rsid w:val="01017684"/>
    <w:rsid w:val="01483505"/>
    <w:rsid w:val="01536131"/>
    <w:rsid w:val="026D3223"/>
    <w:rsid w:val="03F359AA"/>
    <w:rsid w:val="043B1882"/>
    <w:rsid w:val="04504BAA"/>
    <w:rsid w:val="04781A0B"/>
    <w:rsid w:val="052878D5"/>
    <w:rsid w:val="06D03D80"/>
    <w:rsid w:val="078801B7"/>
    <w:rsid w:val="07B62F76"/>
    <w:rsid w:val="09903C9B"/>
    <w:rsid w:val="0A764C3F"/>
    <w:rsid w:val="0AF81AF7"/>
    <w:rsid w:val="0B4E7969"/>
    <w:rsid w:val="0C0149DC"/>
    <w:rsid w:val="0C6C77E9"/>
    <w:rsid w:val="0D073669"/>
    <w:rsid w:val="0DB5782C"/>
    <w:rsid w:val="0E482FF7"/>
    <w:rsid w:val="0E511C4A"/>
    <w:rsid w:val="0E6D45AA"/>
    <w:rsid w:val="0F190427"/>
    <w:rsid w:val="10046849"/>
    <w:rsid w:val="124A70DD"/>
    <w:rsid w:val="126637EB"/>
    <w:rsid w:val="12852524"/>
    <w:rsid w:val="134C29E0"/>
    <w:rsid w:val="14151024"/>
    <w:rsid w:val="14C30A80"/>
    <w:rsid w:val="14E07884"/>
    <w:rsid w:val="152F6116"/>
    <w:rsid w:val="15613259"/>
    <w:rsid w:val="172123D6"/>
    <w:rsid w:val="173C4B1A"/>
    <w:rsid w:val="175E4068"/>
    <w:rsid w:val="179E57D5"/>
    <w:rsid w:val="17D16F68"/>
    <w:rsid w:val="18AE7C99"/>
    <w:rsid w:val="1AFD2812"/>
    <w:rsid w:val="1B1069E9"/>
    <w:rsid w:val="1C314E69"/>
    <w:rsid w:val="1C6963B1"/>
    <w:rsid w:val="1CA75DB5"/>
    <w:rsid w:val="1DCD471E"/>
    <w:rsid w:val="1DD2442A"/>
    <w:rsid w:val="1EA00084"/>
    <w:rsid w:val="1EE2244B"/>
    <w:rsid w:val="1F026649"/>
    <w:rsid w:val="1F136AA8"/>
    <w:rsid w:val="1F51312D"/>
    <w:rsid w:val="1F8E612F"/>
    <w:rsid w:val="201A79C2"/>
    <w:rsid w:val="2217240B"/>
    <w:rsid w:val="22372AAE"/>
    <w:rsid w:val="232B0864"/>
    <w:rsid w:val="23843AD1"/>
    <w:rsid w:val="23C2284B"/>
    <w:rsid w:val="253634F0"/>
    <w:rsid w:val="27910EB2"/>
    <w:rsid w:val="280B656E"/>
    <w:rsid w:val="29053906"/>
    <w:rsid w:val="29714AF7"/>
    <w:rsid w:val="29932CBF"/>
    <w:rsid w:val="29CE5AA6"/>
    <w:rsid w:val="29E928DF"/>
    <w:rsid w:val="2A781326"/>
    <w:rsid w:val="2A7F4FF2"/>
    <w:rsid w:val="2AD90BA6"/>
    <w:rsid w:val="2B255B99"/>
    <w:rsid w:val="2B465B0F"/>
    <w:rsid w:val="2B84523D"/>
    <w:rsid w:val="2BEE68D3"/>
    <w:rsid w:val="2DAB6A62"/>
    <w:rsid w:val="2F5912E3"/>
    <w:rsid w:val="2F6122DC"/>
    <w:rsid w:val="2FEA5603"/>
    <w:rsid w:val="30C465A7"/>
    <w:rsid w:val="30E91417"/>
    <w:rsid w:val="32A61CB5"/>
    <w:rsid w:val="332D5F33"/>
    <w:rsid w:val="34CD2209"/>
    <w:rsid w:val="36401AD9"/>
    <w:rsid w:val="36513CE6"/>
    <w:rsid w:val="375A6BCB"/>
    <w:rsid w:val="38A30A45"/>
    <w:rsid w:val="39F5283E"/>
    <w:rsid w:val="3AC058DE"/>
    <w:rsid w:val="3BB15227"/>
    <w:rsid w:val="3BBC5032"/>
    <w:rsid w:val="3BF05D4F"/>
    <w:rsid w:val="3C215F09"/>
    <w:rsid w:val="3C326368"/>
    <w:rsid w:val="3C553E04"/>
    <w:rsid w:val="3CC52D38"/>
    <w:rsid w:val="3CE31410"/>
    <w:rsid w:val="3D1912D6"/>
    <w:rsid w:val="3D5642D8"/>
    <w:rsid w:val="3E24069D"/>
    <w:rsid w:val="3E2919ED"/>
    <w:rsid w:val="3F283A52"/>
    <w:rsid w:val="3FBD419A"/>
    <w:rsid w:val="408829FA"/>
    <w:rsid w:val="4165392F"/>
    <w:rsid w:val="41B617E9"/>
    <w:rsid w:val="42D75573"/>
    <w:rsid w:val="43A15B81"/>
    <w:rsid w:val="43B92ECB"/>
    <w:rsid w:val="44753296"/>
    <w:rsid w:val="456B28EB"/>
    <w:rsid w:val="45772895"/>
    <w:rsid w:val="45C344D5"/>
    <w:rsid w:val="46B02CAB"/>
    <w:rsid w:val="47486A40"/>
    <w:rsid w:val="47B75973"/>
    <w:rsid w:val="47F92430"/>
    <w:rsid w:val="48AE6D76"/>
    <w:rsid w:val="49C12AD9"/>
    <w:rsid w:val="4B58085E"/>
    <w:rsid w:val="4CC96874"/>
    <w:rsid w:val="4CDB6929"/>
    <w:rsid w:val="4CE511D4"/>
    <w:rsid w:val="4E143B1F"/>
    <w:rsid w:val="4E4168DE"/>
    <w:rsid w:val="505428F9"/>
    <w:rsid w:val="50E83041"/>
    <w:rsid w:val="51090764"/>
    <w:rsid w:val="510A120A"/>
    <w:rsid w:val="51254295"/>
    <w:rsid w:val="533E33EC"/>
    <w:rsid w:val="53784B50"/>
    <w:rsid w:val="53E73A84"/>
    <w:rsid w:val="53FA7313"/>
    <w:rsid w:val="548362A0"/>
    <w:rsid w:val="55EC35D4"/>
    <w:rsid w:val="56705FB3"/>
    <w:rsid w:val="574C257C"/>
    <w:rsid w:val="5889510A"/>
    <w:rsid w:val="58FE1654"/>
    <w:rsid w:val="59365834"/>
    <w:rsid w:val="59853B23"/>
    <w:rsid w:val="5AEE74A6"/>
    <w:rsid w:val="5BC36B85"/>
    <w:rsid w:val="5C2E04A2"/>
    <w:rsid w:val="5C367357"/>
    <w:rsid w:val="5C7834CB"/>
    <w:rsid w:val="5C841E70"/>
    <w:rsid w:val="5E2E29DB"/>
    <w:rsid w:val="5E5F0DE7"/>
    <w:rsid w:val="5FA62A45"/>
    <w:rsid w:val="5FFC4413"/>
    <w:rsid w:val="6151253D"/>
    <w:rsid w:val="61A60ADB"/>
    <w:rsid w:val="61B551C2"/>
    <w:rsid w:val="625422E5"/>
    <w:rsid w:val="630A6E67"/>
    <w:rsid w:val="639037F0"/>
    <w:rsid w:val="63EE743E"/>
    <w:rsid w:val="65206DF6"/>
    <w:rsid w:val="654C1999"/>
    <w:rsid w:val="66B21CD0"/>
    <w:rsid w:val="67114C48"/>
    <w:rsid w:val="680B78E9"/>
    <w:rsid w:val="6CDE381E"/>
    <w:rsid w:val="6D317DF2"/>
    <w:rsid w:val="6DAC1227"/>
    <w:rsid w:val="6DAD31F1"/>
    <w:rsid w:val="6DCE3893"/>
    <w:rsid w:val="6E7A1325"/>
    <w:rsid w:val="6E851A78"/>
    <w:rsid w:val="6F6A75EB"/>
    <w:rsid w:val="6FB32C06"/>
    <w:rsid w:val="6FF173C5"/>
    <w:rsid w:val="705E28A5"/>
    <w:rsid w:val="711E68DF"/>
    <w:rsid w:val="7150636D"/>
    <w:rsid w:val="71AF12E6"/>
    <w:rsid w:val="72556331"/>
    <w:rsid w:val="727E32BC"/>
    <w:rsid w:val="72EE5E3E"/>
    <w:rsid w:val="739B4217"/>
    <w:rsid w:val="73AA26AC"/>
    <w:rsid w:val="73C049AB"/>
    <w:rsid w:val="73C6500C"/>
    <w:rsid w:val="740C0C71"/>
    <w:rsid w:val="74F811F5"/>
    <w:rsid w:val="74FE5905"/>
    <w:rsid w:val="76193DD0"/>
    <w:rsid w:val="766F7295"/>
    <w:rsid w:val="76C43A85"/>
    <w:rsid w:val="76EC08E6"/>
    <w:rsid w:val="77866F8C"/>
    <w:rsid w:val="779F1DFC"/>
    <w:rsid w:val="77F263D0"/>
    <w:rsid w:val="77FB7429"/>
    <w:rsid w:val="78650950"/>
    <w:rsid w:val="78850FF2"/>
    <w:rsid w:val="7AA53BCD"/>
    <w:rsid w:val="7B252618"/>
    <w:rsid w:val="7C0D37D8"/>
    <w:rsid w:val="7C914409"/>
    <w:rsid w:val="7F247A67"/>
    <w:rsid w:val="7FF37189"/>
    <w:rsid w:val="7FFF24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basedOn w:val="6"/>
    <w:link w:val="3"/>
    <w:autoRedefine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fontTable.xml" Type="http://schemas.openxmlformats.org/officeDocument/2006/relationships/fontTable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header2.xml" Type="http://schemas.openxmlformats.org/officeDocument/2006/relationships/header"/><Relationship Id="rId6" Target="footer2.xml" Type="http://schemas.openxmlformats.org/officeDocument/2006/relationships/footer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numbering.xml" Type="http://schemas.openxmlformats.org/officeDocument/2006/relationships/numberi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2447</Words>
  <Characters>2622</Characters>
  <Lines>18</Lines>
  <Paragraphs>5</Paragraphs>
  <TotalTime>8</TotalTime>
  <ScaleCrop>false</ScaleCrop>
  <LinksUpToDate>false</LinksUpToDate>
  <CharactersWithSpaces>2719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2022-09-02T21:42:00Z</dcterms:created>
  <dc:creator>Qin Yanjiao</dc:creator>
  <cp:lastModifiedBy>WPS_1602491199</cp:lastModifiedBy>
  <dcterms:modified xsi:type="dcterms:W3CDTF">2024-02-27T02:20:39Z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2023-02-21T12:01:18Z</vt:filetime>
  </property>
  <property fmtid="{D5CDD505-2E9C-101B-9397-08002B2CF9AE}" pid="4" name="KSOProductBuildVer">
    <vt:lpwstr>2052-12.1.0.16120</vt:lpwstr>
  </property>
  <property fmtid="{D5CDD505-2E9C-101B-9397-08002B2CF9AE}" pid="5" name="ICV">
    <vt:lpwstr>5B9BC67D035146A5961308F3A827315B_13</vt:lpwstr>
  </property>
</Properties>
</file>